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02B7C" w14:textId="77777777" w:rsidR="00B00093" w:rsidRPr="006B3801" w:rsidRDefault="00B00093" w:rsidP="00FF2B61"/>
    <w:p w14:paraId="103123EB" w14:textId="77777777" w:rsidR="00A458A2" w:rsidRPr="003127E7" w:rsidRDefault="005D5E1D" w:rsidP="00A458A2">
      <w:pPr>
        <w:pStyle w:val="Balk1"/>
        <w:spacing w:before="0" w:line="240" w:lineRule="auto"/>
        <w:ind w:right="-1320"/>
        <w:rPr>
          <w:rFonts w:asciiTheme="minorHAnsi" w:hAnsiTheme="minorHAnsi" w:cs="Arial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</w:p>
    <w:p w14:paraId="483BA931" w14:textId="77777777" w:rsidR="005D5E1D" w:rsidRPr="003127E7" w:rsidRDefault="004C75D2" w:rsidP="00A458A2">
      <w:pPr>
        <w:pStyle w:val="Balk1"/>
        <w:spacing w:before="0" w:line="240" w:lineRule="auto"/>
        <w:ind w:left="7080" w:right="-1320"/>
        <w:rPr>
          <w:rFonts w:asciiTheme="minorHAnsi" w:hAnsiTheme="minorHAnsi" w:cs="Arial"/>
          <w:color w:val="002060"/>
        </w:rPr>
      </w:pPr>
      <w:r>
        <w:rPr>
          <w:rFonts w:asciiTheme="minorHAnsi" w:hAnsiTheme="minorHAnsi" w:cs="Arial"/>
          <w:noProof/>
          <w:lang w:eastAsia="tr-TR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E806D0F" wp14:editId="0FE4A0D5">
                <wp:simplePos x="0" y="0"/>
                <wp:positionH relativeFrom="column">
                  <wp:posOffset>-857250</wp:posOffset>
                </wp:positionH>
                <wp:positionV relativeFrom="paragraph">
                  <wp:posOffset>277494</wp:posOffset>
                </wp:positionV>
                <wp:extent cx="5662295" cy="0"/>
                <wp:effectExtent l="0" t="19050" r="1460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7.5pt;margin-top:21.85pt;width:445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" strokecolor="#002060" strokeweight="4.5pt"/>
            </w:pict>
          </mc:Fallback>
        </mc:AlternateContent>
      </w:r>
      <w:r w:rsidR="005D5E1D" w:rsidRPr="003127E7">
        <w:rPr>
          <w:rFonts w:asciiTheme="minorHAnsi" w:hAnsiTheme="minorHAnsi" w:cs="Arial"/>
          <w:color w:val="002060"/>
          <w:sz w:val="36"/>
        </w:rPr>
        <w:t xml:space="preserve"> </w:t>
      </w:r>
      <w:r w:rsidR="003127E7">
        <w:rPr>
          <w:rFonts w:asciiTheme="minorHAnsi" w:hAnsiTheme="minorHAnsi" w:cs="Arial"/>
          <w:color w:val="002060"/>
          <w:sz w:val="36"/>
        </w:rPr>
        <w:t xml:space="preserve">       </w:t>
      </w:r>
      <w:r w:rsidR="005D5E1D" w:rsidRPr="003127E7">
        <w:rPr>
          <w:rFonts w:asciiTheme="minorHAnsi" w:hAnsiTheme="minorHAnsi" w:cs="Arial"/>
          <w:color w:val="002060"/>
          <w:sz w:val="36"/>
        </w:rPr>
        <w:t>HABER BÜLTENİ</w:t>
      </w:r>
    </w:p>
    <w:p w14:paraId="33D686D5" w14:textId="7AE87BF7" w:rsidR="00135956" w:rsidRPr="00135956" w:rsidRDefault="005D5E1D" w:rsidP="00BE3CD7">
      <w:pPr>
        <w:pStyle w:val="Balk1"/>
        <w:spacing w:before="0" w:line="240" w:lineRule="auto"/>
        <w:ind w:right="-1200"/>
        <w:rPr>
          <w:rFonts w:asciiTheme="minorHAnsi" w:hAnsiTheme="minorHAnsi" w:cs="Arial"/>
          <w:color w:val="002060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  <w:t xml:space="preserve">  </w:t>
      </w:r>
      <w:r w:rsidRPr="003127E7">
        <w:rPr>
          <w:rFonts w:asciiTheme="minorHAnsi" w:hAnsiTheme="minorHAnsi" w:cs="Arial"/>
          <w:sz w:val="24"/>
        </w:rPr>
        <w:t xml:space="preserve"> </w:t>
      </w:r>
      <w:r w:rsidR="003127E7">
        <w:rPr>
          <w:rFonts w:asciiTheme="minorHAnsi" w:hAnsiTheme="minorHAnsi" w:cs="Arial"/>
          <w:sz w:val="24"/>
        </w:rPr>
        <w:t xml:space="preserve">        </w:t>
      </w:r>
      <w:r w:rsidR="009A31B6">
        <w:rPr>
          <w:rFonts w:asciiTheme="minorHAnsi" w:hAnsiTheme="minorHAnsi" w:cs="Arial"/>
          <w:sz w:val="24"/>
        </w:rPr>
        <w:t xml:space="preserve"> </w:t>
      </w:r>
      <w:r w:rsidR="00C60B51">
        <w:rPr>
          <w:rFonts w:asciiTheme="minorHAnsi" w:hAnsiTheme="minorHAnsi" w:cs="Arial"/>
          <w:color w:val="002060"/>
        </w:rPr>
        <w:t>0</w:t>
      </w:r>
      <w:r w:rsidR="002F1F5C">
        <w:rPr>
          <w:rFonts w:asciiTheme="minorHAnsi" w:hAnsiTheme="minorHAnsi" w:cs="Arial"/>
          <w:color w:val="002060"/>
        </w:rPr>
        <w:t>2</w:t>
      </w:r>
      <w:r w:rsidR="00323CD1" w:rsidRPr="003127E7">
        <w:rPr>
          <w:rFonts w:asciiTheme="minorHAnsi" w:hAnsiTheme="minorHAnsi" w:cs="Arial"/>
          <w:color w:val="002060"/>
        </w:rPr>
        <w:t>.</w:t>
      </w:r>
      <w:r w:rsidR="009152BA">
        <w:rPr>
          <w:rFonts w:asciiTheme="minorHAnsi" w:hAnsiTheme="minorHAnsi" w:cs="Arial"/>
          <w:color w:val="002060"/>
        </w:rPr>
        <w:t>0</w:t>
      </w:r>
      <w:r w:rsidR="002F1F5C">
        <w:rPr>
          <w:rFonts w:asciiTheme="minorHAnsi" w:hAnsiTheme="minorHAnsi" w:cs="Arial"/>
          <w:color w:val="002060"/>
        </w:rPr>
        <w:t>4</w:t>
      </w:r>
      <w:r w:rsidR="00A90A05">
        <w:rPr>
          <w:rFonts w:asciiTheme="minorHAnsi" w:hAnsiTheme="minorHAnsi" w:cs="Arial"/>
          <w:color w:val="002060"/>
        </w:rPr>
        <w:t>.</w:t>
      </w:r>
      <w:proofErr w:type="gramStart"/>
      <w:r w:rsidR="00A90A05">
        <w:rPr>
          <w:rFonts w:asciiTheme="minorHAnsi" w:hAnsiTheme="minorHAnsi" w:cs="Arial"/>
          <w:color w:val="002060"/>
        </w:rPr>
        <w:t>201</w:t>
      </w:r>
      <w:r w:rsidR="009152BA">
        <w:rPr>
          <w:rFonts w:asciiTheme="minorHAnsi" w:hAnsiTheme="minorHAnsi" w:cs="Arial"/>
          <w:color w:val="002060"/>
        </w:rPr>
        <w:t>9</w:t>
      </w:r>
      <w:r w:rsidR="00F62398">
        <w:rPr>
          <w:rFonts w:asciiTheme="minorHAnsi" w:hAnsiTheme="minorHAnsi" w:cs="Arial"/>
          <w:color w:val="002060"/>
        </w:rPr>
        <w:t xml:space="preserve"> </w:t>
      </w:r>
      <w:r w:rsidR="00DB1A19">
        <w:rPr>
          <w:rFonts w:asciiTheme="minorHAnsi" w:hAnsiTheme="minorHAnsi" w:cs="Arial"/>
          <w:color w:val="002060"/>
        </w:rPr>
        <w:t xml:space="preserve">   </w:t>
      </w:r>
      <w:r w:rsidR="002F1F5C">
        <w:rPr>
          <w:rFonts w:asciiTheme="minorHAnsi" w:hAnsiTheme="minorHAnsi" w:cs="Arial"/>
          <w:color w:val="002060"/>
        </w:rPr>
        <w:t>Sayı</w:t>
      </w:r>
      <w:proofErr w:type="gramEnd"/>
      <w:r w:rsidR="002F1F5C">
        <w:rPr>
          <w:rFonts w:asciiTheme="minorHAnsi" w:hAnsiTheme="minorHAnsi" w:cs="Arial"/>
          <w:color w:val="002060"/>
        </w:rPr>
        <w:t xml:space="preserve"> 111</w:t>
      </w:r>
    </w:p>
    <w:p w14:paraId="43124A38" w14:textId="25DC8296" w:rsidR="003C685F" w:rsidRPr="0080667D" w:rsidRDefault="00E93FF7" w:rsidP="00E93FF7">
      <w:pPr>
        <w:pStyle w:val="Balk2"/>
        <w:spacing w:before="0" w:line="240" w:lineRule="auto"/>
        <w:jc w:val="both"/>
        <w:rPr>
          <w:rFonts w:asciiTheme="minorHAnsi" w:hAnsiTheme="minorHAnsi" w:cs="Arial"/>
          <w:color w:val="000000" w:themeColor="text1"/>
          <w:sz w:val="32"/>
        </w:rPr>
      </w:pPr>
      <w:r>
        <w:rPr>
          <w:rFonts w:asciiTheme="minorHAnsi" w:hAnsiTheme="minorHAnsi" w:cs="Arial"/>
          <w:color w:val="000000" w:themeColor="text1"/>
          <w:sz w:val="32"/>
        </w:rPr>
        <w:t>PERAKENDE GÜVENİ, GEÇEN AYA GÖRE ARTTIĞI HALDE</w:t>
      </w:r>
      <w:r w:rsidR="007945C8">
        <w:rPr>
          <w:rFonts w:asciiTheme="minorHAnsi" w:hAnsiTheme="minorHAnsi" w:cs="Arial"/>
          <w:color w:val="000000" w:themeColor="text1"/>
          <w:sz w:val="32"/>
        </w:rPr>
        <w:t xml:space="preserve"> </w:t>
      </w:r>
      <w:r>
        <w:rPr>
          <w:rFonts w:asciiTheme="minorHAnsi" w:hAnsiTheme="minorHAnsi" w:cs="Arial"/>
          <w:color w:val="000000" w:themeColor="text1"/>
          <w:sz w:val="32"/>
        </w:rPr>
        <w:t xml:space="preserve">GEÇEN YILA </w:t>
      </w:r>
      <w:bookmarkStart w:id="0" w:name="_GoBack"/>
      <w:bookmarkEnd w:id="0"/>
      <w:r>
        <w:rPr>
          <w:rFonts w:asciiTheme="minorHAnsi" w:hAnsiTheme="minorHAnsi" w:cs="Arial"/>
          <w:color w:val="000000" w:themeColor="text1"/>
          <w:sz w:val="32"/>
        </w:rPr>
        <w:t>GÖRE AZA</w:t>
      </w:r>
      <w:r w:rsidR="00660821">
        <w:rPr>
          <w:rFonts w:asciiTheme="minorHAnsi" w:hAnsiTheme="minorHAnsi" w:cs="Arial"/>
          <w:color w:val="000000" w:themeColor="text1"/>
          <w:sz w:val="32"/>
        </w:rPr>
        <w:t>LDI</w:t>
      </w:r>
    </w:p>
    <w:p w14:paraId="2ADAA0B6" w14:textId="1520941C" w:rsidR="009C2B1D" w:rsidRPr="000545D1" w:rsidRDefault="007945C8" w:rsidP="007945C8">
      <w:pPr>
        <w:pStyle w:val="Balk2"/>
        <w:spacing w:line="24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>
        <w:rPr>
          <w:rFonts w:asciiTheme="minorHAnsi" w:hAnsiTheme="minorHAnsi" w:cs="Arial"/>
          <w:b w:val="0"/>
          <w:color w:val="000000" w:themeColor="text1"/>
          <w:sz w:val="24"/>
        </w:rPr>
        <w:t>2019</w:t>
      </w:r>
      <w:r w:rsidRPr="007945C8">
        <w:rPr>
          <w:rFonts w:asciiTheme="minorHAnsi" w:hAnsiTheme="minorHAnsi" w:cs="Arial"/>
          <w:b w:val="0"/>
          <w:color w:val="000000" w:themeColor="text1"/>
          <w:sz w:val="24"/>
        </w:rPr>
        <w:t xml:space="preserve"> yıl</w:t>
      </w:r>
      <w:r>
        <w:rPr>
          <w:rFonts w:asciiTheme="minorHAnsi" w:hAnsiTheme="minorHAnsi" w:cs="Arial"/>
          <w:b w:val="0"/>
          <w:color w:val="000000" w:themeColor="text1"/>
          <w:sz w:val="24"/>
        </w:rPr>
        <w:t>ının ilk üç ayını ortalama -18,6</w:t>
      </w:r>
      <w:r w:rsidRPr="007945C8">
        <w:rPr>
          <w:rFonts w:asciiTheme="minorHAnsi" w:hAnsiTheme="minorHAnsi" w:cs="Arial"/>
          <w:b w:val="0"/>
          <w:color w:val="000000" w:themeColor="text1"/>
          <w:sz w:val="24"/>
        </w:rPr>
        <w:t xml:space="preserve"> puan s</w:t>
      </w:r>
      <w:r>
        <w:rPr>
          <w:rFonts w:asciiTheme="minorHAnsi" w:hAnsiTheme="minorHAnsi" w:cs="Arial"/>
          <w:b w:val="0"/>
          <w:color w:val="000000" w:themeColor="text1"/>
          <w:sz w:val="24"/>
        </w:rPr>
        <w:t>eviyesinde tamamlayan TEPE, 2018</w:t>
      </w:r>
      <w:r w:rsidRPr="007945C8">
        <w:rPr>
          <w:rFonts w:asciiTheme="minorHAnsi" w:hAnsiTheme="minorHAnsi" w:cs="Arial"/>
          <w:b w:val="0"/>
          <w:color w:val="000000" w:themeColor="text1"/>
          <w:sz w:val="24"/>
        </w:rPr>
        <w:t xml:space="preserve"> yılının ilk üç ayındaki seviyesine (-1</w:t>
      </w:r>
      <w:r>
        <w:rPr>
          <w:rFonts w:asciiTheme="minorHAnsi" w:hAnsiTheme="minorHAnsi" w:cs="Arial"/>
          <w:b w:val="0"/>
          <w:color w:val="000000" w:themeColor="text1"/>
          <w:sz w:val="24"/>
        </w:rPr>
        <w:t>1,4) kıyasla düşüş</w:t>
      </w:r>
      <w:r w:rsidRPr="007945C8">
        <w:rPr>
          <w:rFonts w:asciiTheme="minorHAnsi" w:hAnsiTheme="minorHAnsi" w:cs="Arial"/>
          <w:b w:val="0"/>
          <w:color w:val="000000" w:themeColor="text1"/>
          <w:sz w:val="24"/>
        </w:rPr>
        <w:t xml:space="preserve"> gösterdi.</w:t>
      </w:r>
      <w:r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7C158D" w:rsidRPr="000545D1">
        <w:rPr>
          <w:rFonts w:asciiTheme="minorHAnsi" w:hAnsiTheme="minorHAnsi" w:cs="Arial"/>
          <w:b w:val="0"/>
          <w:color w:val="000000" w:themeColor="text1"/>
          <w:sz w:val="24"/>
        </w:rPr>
        <w:t>P</w:t>
      </w:r>
      <w:r w:rsidR="00DF152E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erakende güveni,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Mart</w:t>
      </w:r>
      <w:r w:rsidR="00DF152E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ayında bir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önceki aya göre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6,7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artarken</w:t>
      </w:r>
      <w:r w:rsidR="00D95C12" w:rsidRPr="000545D1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bir önceki yılın aynı dönemine göre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2,5</w:t>
      </w:r>
      <w:r w:rsidR="00592D96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D95C12" w:rsidRPr="000545D1">
        <w:rPr>
          <w:rFonts w:asciiTheme="minorHAnsi" w:hAnsiTheme="minorHAnsi" w:cs="Arial"/>
          <w:b w:val="0"/>
          <w:color w:val="000000" w:themeColor="text1"/>
          <w:sz w:val="24"/>
        </w:rPr>
        <w:t>azaldı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. </w:t>
      </w:r>
      <w:r w:rsidR="005D0F6B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güveninin </w:t>
      </w:r>
      <w:r w:rsidR="00BB19A4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geçen aya </w:t>
      </w:r>
      <w:r w:rsidR="00D65C08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göre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artışınd</w:t>
      </w:r>
      <w:r w:rsidR="007C158D" w:rsidRPr="000545D1">
        <w:rPr>
          <w:rFonts w:asciiTheme="minorHAnsi" w:hAnsiTheme="minorHAnsi" w:cs="Arial"/>
          <w:b w:val="0"/>
          <w:color w:val="000000" w:themeColor="text1"/>
          <w:sz w:val="24"/>
        </w:rPr>
        <w:t>a</w:t>
      </w:r>
      <w:r w:rsidR="005D0F6B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, </w:t>
      </w:r>
      <w:r w:rsidR="00224AFD" w:rsidRPr="000545D1">
        <w:rPr>
          <w:rFonts w:asciiTheme="minorHAnsi" w:hAnsiTheme="minorHAnsi" w:cs="Arial"/>
          <w:b w:val="0"/>
          <w:color w:val="000000" w:themeColor="text1"/>
          <w:sz w:val="24"/>
        </w:rPr>
        <w:t>geçtiğimiz</w:t>
      </w:r>
      <w:r w:rsidR="00F8063B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3 ayda işlerin gelişimi</w:t>
      </w:r>
      <w:r w:rsidR="00D95C1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ve önümüzdeki 3 ayda satış beklentilerindeki</w:t>
      </w:r>
      <w:r w:rsidR="00E828EA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artış</w:t>
      </w:r>
      <w:r w:rsidR="007C158D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etkili </w:t>
      </w:r>
      <w:r w:rsidR="00DF152E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oldu. </w:t>
      </w:r>
      <w:r w:rsidR="00B93AE6" w:rsidRPr="000545D1">
        <w:rPr>
          <w:rFonts w:asciiTheme="minorHAnsi" w:hAnsiTheme="minorHAnsi" w:cs="Arial"/>
          <w:b w:val="0"/>
          <w:color w:val="000000" w:themeColor="text1"/>
          <w:sz w:val="24"/>
        </w:rPr>
        <w:t>“</w:t>
      </w:r>
      <w:r w:rsidR="005D6491">
        <w:rPr>
          <w:rFonts w:asciiTheme="minorHAnsi" w:hAnsiTheme="minorHAnsi" w:cs="Arial"/>
          <w:b w:val="0"/>
          <w:color w:val="000000" w:themeColor="text1"/>
          <w:sz w:val="24"/>
        </w:rPr>
        <w:t>B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irden fazla türde ürün satan bakkal, market ve büyük mağazalar</w:t>
      </w:r>
      <w:r w:rsidR="00C7031A" w:rsidRPr="000545D1">
        <w:rPr>
          <w:rFonts w:asciiTheme="minorHAnsi" w:hAnsiTheme="minorHAnsi" w:cs="Arial"/>
          <w:b w:val="0"/>
          <w:color w:val="000000" w:themeColor="text1"/>
          <w:sz w:val="24"/>
        </w:rPr>
        <w:t>”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sektörü,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Mart</w:t>
      </w:r>
      <w:r w:rsidR="00B93AE6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ayında 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güveninde </w:t>
      </w:r>
      <w:r w:rsidR="00D65C08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en fazla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artış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gösteren</w:t>
      </w:r>
      <w:r w:rsidR="00D65C08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sektör oldu. </w:t>
      </w:r>
      <w:r w:rsidR="00C9714B" w:rsidRPr="000545D1">
        <w:rPr>
          <w:rFonts w:asciiTheme="minorHAnsi" w:hAnsiTheme="minorHAnsi" w:cs="Arial"/>
          <w:b w:val="0"/>
          <w:color w:val="000000" w:themeColor="text1"/>
          <w:sz w:val="24"/>
        </w:rPr>
        <w:t>AB-28 ve Euro Bölgesi ile karşılaştırıldığı</w:t>
      </w:r>
      <w:r w:rsidR="004E6B51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nda </w:t>
      </w:r>
      <w:r w:rsidR="00B245EA" w:rsidRPr="000545D1">
        <w:rPr>
          <w:rFonts w:asciiTheme="minorHAnsi" w:hAnsiTheme="minorHAnsi" w:cs="Arial"/>
          <w:b w:val="0"/>
          <w:color w:val="000000" w:themeColor="text1"/>
          <w:sz w:val="24"/>
        </w:rPr>
        <w:t>Türkiye</w:t>
      </w:r>
      <w:r w:rsidR="00BB19A4" w:rsidRPr="000545D1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="007C158D" w:rsidRPr="000545D1">
        <w:t xml:space="preserve"> </w:t>
      </w:r>
      <w:r w:rsidR="007C158D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geçen yıla göre </w:t>
      </w:r>
      <w:r w:rsidR="00BE1B76" w:rsidRPr="000545D1">
        <w:rPr>
          <w:rFonts w:asciiTheme="minorHAnsi" w:hAnsiTheme="minorHAnsi" w:cs="Arial"/>
          <w:b w:val="0"/>
          <w:color w:val="000000" w:themeColor="text1"/>
          <w:sz w:val="24"/>
        </w:rPr>
        <w:t>AB-28</w:t>
      </w:r>
      <w:r w:rsidR="001B10F3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ve Euro Bölgesi’nden daha kötü</w:t>
      </w:r>
      <w:r w:rsidR="00C7031A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7C158D" w:rsidRPr="000545D1">
        <w:rPr>
          <w:rFonts w:asciiTheme="minorHAnsi" w:hAnsiTheme="minorHAnsi" w:cs="Arial"/>
          <w:b w:val="0"/>
          <w:color w:val="000000" w:themeColor="text1"/>
          <w:sz w:val="24"/>
        </w:rPr>
        <w:t>performans</w:t>
      </w:r>
      <w:r w:rsidR="00D32AA5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sergiledi.</w:t>
      </w:r>
    </w:p>
    <w:p w14:paraId="20543206" w14:textId="739AB38B" w:rsidR="00201819" w:rsidRPr="000545D1" w:rsidRDefault="009A1DC3" w:rsidP="00C7031A">
      <w:pPr>
        <w:pStyle w:val="Balk2"/>
        <w:spacing w:line="240" w:lineRule="auto"/>
        <w:jc w:val="both"/>
        <w:rPr>
          <w:rFonts w:asciiTheme="minorHAnsi" w:hAnsiTheme="minorHAnsi" w:cs="Arial"/>
          <w:color w:val="0070C0"/>
          <w:sz w:val="28"/>
        </w:rPr>
      </w:pPr>
      <w:r w:rsidRPr="000545D1">
        <w:rPr>
          <w:rFonts w:asciiTheme="minorHAnsi" w:hAnsiTheme="minorHAnsi" w:cs="Arial"/>
          <w:color w:val="0070C0"/>
          <w:sz w:val="28"/>
        </w:rPr>
        <w:t>P</w:t>
      </w:r>
      <w:r w:rsidR="00B52DBC" w:rsidRPr="000545D1">
        <w:rPr>
          <w:rFonts w:asciiTheme="minorHAnsi" w:hAnsiTheme="minorHAnsi" w:cs="Arial"/>
          <w:color w:val="0070C0"/>
          <w:sz w:val="28"/>
        </w:rPr>
        <w:t>erakende</w:t>
      </w:r>
      <w:r w:rsidR="00D036F0" w:rsidRPr="000545D1">
        <w:rPr>
          <w:rFonts w:asciiTheme="minorHAnsi" w:hAnsiTheme="minorHAnsi" w:cs="Arial"/>
          <w:color w:val="0070C0"/>
          <w:sz w:val="28"/>
        </w:rPr>
        <w:t xml:space="preserve"> güve</w:t>
      </w:r>
      <w:r w:rsidR="00916726" w:rsidRPr="000545D1">
        <w:rPr>
          <w:rFonts w:asciiTheme="minorHAnsi" w:hAnsiTheme="minorHAnsi" w:cs="Arial"/>
          <w:color w:val="0070C0"/>
          <w:sz w:val="28"/>
        </w:rPr>
        <w:t>ni</w:t>
      </w:r>
      <w:r w:rsidR="00F7163E" w:rsidRPr="000545D1">
        <w:rPr>
          <w:rFonts w:asciiTheme="minorHAnsi" w:hAnsiTheme="minorHAnsi" w:cs="Arial"/>
          <w:color w:val="0070C0"/>
          <w:sz w:val="28"/>
        </w:rPr>
        <w:t xml:space="preserve"> </w:t>
      </w:r>
      <w:r w:rsidR="009062C3" w:rsidRPr="000545D1">
        <w:rPr>
          <w:rFonts w:asciiTheme="minorHAnsi" w:hAnsiTheme="minorHAnsi" w:cs="Arial"/>
          <w:color w:val="0070C0"/>
          <w:sz w:val="28"/>
        </w:rPr>
        <w:t xml:space="preserve">geçen </w:t>
      </w:r>
      <w:r w:rsidR="00BE1B76" w:rsidRPr="000545D1">
        <w:rPr>
          <w:rFonts w:asciiTheme="minorHAnsi" w:hAnsiTheme="minorHAnsi" w:cs="Arial"/>
          <w:color w:val="0070C0"/>
          <w:sz w:val="28"/>
        </w:rPr>
        <w:t>aya</w:t>
      </w:r>
      <w:r w:rsidR="009062C3" w:rsidRPr="000545D1">
        <w:rPr>
          <w:rFonts w:asciiTheme="minorHAnsi" w:hAnsiTheme="minorHAnsi" w:cs="Arial"/>
          <w:color w:val="0070C0"/>
          <w:sz w:val="28"/>
        </w:rPr>
        <w:t xml:space="preserve"> </w:t>
      </w:r>
      <w:r w:rsidR="000545D1" w:rsidRPr="000545D1">
        <w:rPr>
          <w:rFonts w:asciiTheme="minorHAnsi" w:hAnsiTheme="minorHAnsi" w:cs="Arial"/>
          <w:color w:val="0070C0"/>
          <w:sz w:val="28"/>
        </w:rPr>
        <w:t>kıyasla arttı</w:t>
      </w:r>
    </w:p>
    <w:p w14:paraId="590FC3BB" w14:textId="5F9DE427" w:rsidR="00861C16" w:rsidRPr="0089439F" w:rsidRDefault="000545D1" w:rsidP="00E31E35">
      <w:pPr>
        <w:pStyle w:val="Balk2"/>
        <w:spacing w:before="0" w:after="240" w:line="240" w:lineRule="atLeast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0545D1">
        <w:rPr>
          <w:rFonts w:asciiTheme="minorHAnsi" w:hAnsiTheme="minorHAnsi" w:cs="Arial"/>
          <w:b w:val="0"/>
          <w:color w:val="0070C0"/>
          <w:sz w:val="24"/>
        </w:rPr>
        <w:t>Mart</w:t>
      </w:r>
      <w:r w:rsidR="00CA7E8C" w:rsidRPr="000545D1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C13DEB" w:rsidRPr="000545D1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 w:rsidRPr="000545D1">
        <w:rPr>
          <w:rFonts w:asciiTheme="minorHAnsi" w:hAnsiTheme="minorHAnsi" w:cs="Arial"/>
          <w:b w:val="0"/>
          <w:color w:val="0070C0"/>
          <w:sz w:val="24"/>
        </w:rPr>
        <w:t>15</w:t>
      </w:r>
      <w:r w:rsidR="00863F6E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7942" w:rsidRPr="000545D1">
        <w:rPr>
          <w:rFonts w:asciiTheme="minorHAnsi" w:hAnsiTheme="minorHAnsi" w:cs="Arial"/>
          <w:b w:val="0"/>
          <w:color w:val="0070C0"/>
          <w:sz w:val="24"/>
        </w:rPr>
        <w:t xml:space="preserve">puan değerini alan </w:t>
      </w:r>
      <w:r w:rsidR="00ED3677" w:rsidRPr="000545D1">
        <w:rPr>
          <w:rFonts w:asciiTheme="minorHAnsi" w:hAnsiTheme="minorHAnsi" w:cs="Arial"/>
          <w:b w:val="0"/>
          <w:color w:val="0070C0"/>
          <w:sz w:val="24"/>
        </w:rPr>
        <w:t xml:space="preserve">TEPE, </w:t>
      </w:r>
      <w:r w:rsidR="006F5FED" w:rsidRPr="000545D1">
        <w:rPr>
          <w:rFonts w:asciiTheme="minorHAnsi" w:hAnsiTheme="minorHAnsi" w:cs="Arial"/>
          <w:b w:val="0"/>
          <w:color w:val="0070C0"/>
          <w:sz w:val="24"/>
        </w:rPr>
        <w:t>geçen yılın aynı dönemine göre</w:t>
      </w:r>
      <w:r w:rsidR="00DD2F8C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0545D1">
        <w:rPr>
          <w:rFonts w:asciiTheme="minorHAnsi" w:hAnsiTheme="minorHAnsi" w:cs="Arial"/>
          <w:b w:val="0"/>
          <w:color w:val="0070C0"/>
          <w:sz w:val="24"/>
        </w:rPr>
        <w:t>2,5</w:t>
      </w:r>
      <w:r w:rsidR="00536037" w:rsidRPr="000545D1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Pr="000545D1">
        <w:rPr>
          <w:rFonts w:asciiTheme="minorHAnsi" w:hAnsiTheme="minorHAnsi" w:cs="Arial"/>
          <w:b w:val="0"/>
          <w:color w:val="0070C0"/>
          <w:sz w:val="24"/>
        </w:rPr>
        <w:t xml:space="preserve"> azalırken</w:t>
      </w:r>
      <w:r w:rsidR="0025186F" w:rsidRPr="000545D1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ED3677" w:rsidRPr="000545D1">
        <w:rPr>
          <w:rFonts w:asciiTheme="minorHAnsi" w:hAnsiTheme="minorHAnsi" w:cs="Arial"/>
          <w:b w:val="0"/>
          <w:color w:val="0070C0"/>
          <w:sz w:val="24"/>
        </w:rPr>
        <w:t>geçen aya göre</w:t>
      </w:r>
      <w:r w:rsidR="0025186F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0545D1">
        <w:rPr>
          <w:rFonts w:asciiTheme="minorHAnsi" w:hAnsiTheme="minorHAnsi" w:cs="Arial"/>
          <w:b w:val="0"/>
          <w:color w:val="0070C0"/>
          <w:sz w:val="24"/>
        </w:rPr>
        <w:t>6,7</w:t>
      </w:r>
      <w:r w:rsidR="00ED3677" w:rsidRPr="000545D1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 w:rsidRPr="000545D1">
        <w:rPr>
          <w:rFonts w:asciiTheme="minorHAnsi" w:hAnsiTheme="minorHAnsi" w:cs="Arial"/>
          <w:b w:val="0"/>
          <w:color w:val="0070C0"/>
          <w:sz w:val="24"/>
        </w:rPr>
        <w:t>rttı</w:t>
      </w:r>
      <w:r w:rsidR="007F7350" w:rsidRPr="000545D1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9062C3" w:rsidRPr="000545D1">
        <w:rPr>
          <w:rFonts w:asciiTheme="minorHAnsi" w:hAnsiTheme="minorHAnsi" w:cs="Arial"/>
          <w:b w:val="0"/>
          <w:color w:val="0070C0"/>
          <w:sz w:val="24"/>
        </w:rPr>
        <w:t xml:space="preserve">TEPE değerinin geçen </w:t>
      </w:r>
      <w:r w:rsidRPr="000545D1">
        <w:rPr>
          <w:rFonts w:asciiTheme="minorHAnsi" w:hAnsiTheme="minorHAnsi" w:cs="Arial"/>
          <w:b w:val="0"/>
          <w:color w:val="0070C0"/>
          <w:sz w:val="24"/>
        </w:rPr>
        <w:t>aya</w:t>
      </w:r>
      <w:r w:rsidR="00D65C08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63F6E" w:rsidRPr="000545D1">
        <w:rPr>
          <w:rFonts w:asciiTheme="minorHAnsi" w:hAnsiTheme="minorHAnsi" w:cs="Arial"/>
          <w:b w:val="0"/>
          <w:color w:val="0070C0"/>
          <w:sz w:val="24"/>
        </w:rPr>
        <w:t xml:space="preserve">göre </w:t>
      </w:r>
      <w:r w:rsidRPr="000545D1">
        <w:rPr>
          <w:rFonts w:asciiTheme="minorHAnsi" w:hAnsiTheme="minorHAnsi" w:cs="Arial"/>
          <w:b w:val="0"/>
          <w:color w:val="0070C0"/>
          <w:sz w:val="24"/>
        </w:rPr>
        <w:t>artmasında</w:t>
      </w:r>
      <w:r w:rsidR="00194C19" w:rsidRPr="000545D1">
        <w:rPr>
          <w:rFonts w:asciiTheme="minorHAnsi" w:hAnsiTheme="minorHAnsi" w:cs="Arial"/>
          <w:b w:val="0"/>
          <w:color w:val="0070C0"/>
          <w:sz w:val="24"/>
        </w:rPr>
        <w:t xml:space="preserve"> geçtiğim</w:t>
      </w:r>
      <w:r w:rsidR="008F430F" w:rsidRPr="000545D1">
        <w:rPr>
          <w:rFonts w:asciiTheme="minorHAnsi" w:hAnsiTheme="minorHAnsi" w:cs="Arial"/>
          <w:b w:val="0"/>
          <w:color w:val="0070C0"/>
          <w:sz w:val="24"/>
        </w:rPr>
        <w:t>iz 3 ayda işlerin gelişimi</w:t>
      </w:r>
      <w:r w:rsidR="00712AC1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31E35" w:rsidRPr="000545D1">
        <w:rPr>
          <w:rFonts w:asciiTheme="minorHAnsi" w:hAnsiTheme="minorHAnsi" w:cs="Arial"/>
          <w:b w:val="0"/>
          <w:color w:val="0070C0"/>
          <w:sz w:val="24"/>
        </w:rPr>
        <w:t>ve önümüzdeki 3 ayda satış beklentisi göstergelerindeki</w:t>
      </w:r>
      <w:r w:rsidR="008F430F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0545D1">
        <w:rPr>
          <w:rFonts w:asciiTheme="minorHAnsi" w:hAnsiTheme="minorHAnsi" w:cs="Arial"/>
          <w:b w:val="0"/>
          <w:color w:val="0070C0"/>
          <w:sz w:val="24"/>
        </w:rPr>
        <w:t>artış</w:t>
      </w:r>
      <w:r w:rsidR="00712AC1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9062C3" w:rsidRPr="000545D1">
        <w:rPr>
          <w:rFonts w:asciiTheme="minorHAnsi" w:hAnsiTheme="minorHAnsi" w:cs="Arial"/>
          <w:b w:val="0"/>
          <w:color w:val="0070C0"/>
          <w:sz w:val="24"/>
        </w:rPr>
        <w:t>etkili oldu</w:t>
      </w:r>
      <w:r w:rsidR="00863F6E" w:rsidRPr="000545D1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4CD4B593" w14:textId="74D71E57" w:rsidR="003F5305" w:rsidRDefault="00963B01" w:rsidP="00FD28FD">
      <w:pPr>
        <w:tabs>
          <w:tab w:val="left" w:pos="8258"/>
        </w:tabs>
        <w:spacing w:after="0" w:line="240" w:lineRule="atLeast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1</w:t>
      </w:r>
      <w:r w:rsidRPr="00662EBC">
        <w:rPr>
          <w:rFonts w:asciiTheme="minorHAnsi" w:hAnsiTheme="minorHAnsi"/>
          <w:b/>
        </w:rPr>
        <w:t>.</w:t>
      </w:r>
      <w:r w:rsidRPr="00662EBC">
        <w:rPr>
          <w:rFonts w:asciiTheme="minorHAnsi" w:hAnsiTheme="minorHAnsi"/>
        </w:rPr>
        <w:t xml:space="preserve"> TEPE (</w:t>
      </w:r>
      <w:r w:rsidR="00D16CAC">
        <w:rPr>
          <w:rFonts w:asciiTheme="minorHAnsi" w:hAnsiTheme="minorHAnsi"/>
        </w:rPr>
        <w:t>Mart</w:t>
      </w:r>
      <w:r w:rsidR="00FD28FD">
        <w:rPr>
          <w:rFonts w:asciiTheme="minorHAnsi" w:hAnsiTheme="minorHAnsi"/>
        </w:rPr>
        <w:t xml:space="preserve"> 2018</w:t>
      </w:r>
      <w:r w:rsidRPr="00662EBC">
        <w:rPr>
          <w:rFonts w:asciiTheme="minorHAnsi" w:hAnsiTheme="minorHAnsi"/>
        </w:rPr>
        <w:t xml:space="preserve"> –</w:t>
      </w:r>
      <w:r w:rsidR="00DB57EF">
        <w:rPr>
          <w:rFonts w:asciiTheme="minorHAnsi" w:hAnsiTheme="minorHAnsi"/>
        </w:rPr>
        <w:t xml:space="preserve"> </w:t>
      </w:r>
      <w:r w:rsidR="00D16CAC">
        <w:rPr>
          <w:rFonts w:asciiTheme="minorHAnsi" w:hAnsiTheme="minorHAnsi"/>
        </w:rPr>
        <w:t>Mart</w:t>
      </w:r>
      <w:r w:rsidR="00C736AC">
        <w:rPr>
          <w:rFonts w:asciiTheme="minorHAnsi" w:hAnsiTheme="minorHAnsi"/>
        </w:rPr>
        <w:t xml:space="preserve"> </w:t>
      </w:r>
      <w:r w:rsidR="00FD28FD">
        <w:rPr>
          <w:rFonts w:asciiTheme="minorHAnsi" w:hAnsiTheme="minorHAnsi"/>
        </w:rPr>
        <w:t>2019</w:t>
      </w:r>
      <w:r w:rsidRPr="00662EBC">
        <w:rPr>
          <w:rFonts w:asciiTheme="minorHAnsi" w:hAnsiTheme="minorHAnsi"/>
        </w:rPr>
        <w:t>)</w:t>
      </w:r>
      <w:r w:rsidR="004B440A">
        <w:rPr>
          <w:rStyle w:val="DipnotBavurusu"/>
          <w:rFonts w:asciiTheme="minorHAnsi" w:hAnsiTheme="minorHAnsi"/>
        </w:rPr>
        <w:footnoteReference w:id="1"/>
      </w:r>
      <w:r w:rsidR="00BF4AF3" w:rsidRPr="00BF4AF3">
        <w:rPr>
          <w:noProof/>
          <w:lang w:eastAsia="tr-TR"/>
        </w:rPr>
        <w:t xml:space="preserve"> </w:t>
      </w:r>
      <w:r w:rsidR="00D16CAC">
        <w:rPr>
          <w:noProof/>
          <w:lang w:eastAsia="tr-TR"/>
        </w:rPr>
        <w:drawing>
          <wp:inline distT="0" distB="0" distL="0" distR="0" wp14:anchorId="0D856559" wp14:editId="3C4C2E5A">
            <wp:extent cx="5759450" cy="2584369"/>
            <wp:effectExtent l="0" t="0" r="12700" b="26035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1B9E16" w14:textId="77777777" w:rsidR="00A6763E" w:rsidRPr="003127E7" w:rsidRDefault="00A6763E" w:rsidP="00D95C12">
      <w:pPr>
        <w:tabs>
          <w:tab w:val="left" w:pos="8258"/>
        </w:tabs>
        <w:spacing w:before="240" w:after="0" w:line="240" w:lineRule="auto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Tablo-1.</w:t>
      </w:r>
      <w:r w:rsidR="004B440A">
        <w:rPr>
          <w:rFonts w:asciiTheme="minorHAnsi" w:hAnsiTheme="minorHAnsi"/>
        </w:rPr>
        <w:t xml:space="preserve"> TEPE, Aylık Seri</w:t>
      </w:r>
    </w:p>
    <w:tbl>
      <w:tblPr>
        <w:tblStyle w:val="OrtaKlavuz3-Vurgu1"/>
        <w:tblW w:w="10475" w:type="dxa"/>
        <w:jc w:val="center"/>
        <w:tblLook w:val="04A0" w:firstRow="1" w:lastRow="0" w:firstColumn="1" w:lastColumn="0" w:noHBand="0" w:noVBand="1"/>
      </w:tblPr>
      <w:tblGrid>
        <w:gridCol w:w="680"/>
        <w:gridCol w:w="705"/>
        <w:gridCol w:w="806"/>
        <w:gridCol w:w="691"/>
        <w:gridCol w:w="777"/>
        <w:gridCol w:w="789"/>
        <w:gridCol w:w="950"/>
        <w:gridCol w:w="1038"/>
        <w:gridCol w:w="1027"/>
        <w:gridCol w:w="713"/>
        <w:gridCol w:w="713"/>
        <w:gridCol w:w="832"/>
        <w:gridCol w:w="754"/>
      </w:tblGrid>
      <w:tr w:rsidR="00A4291D" w:rsidRPr="003127E7" w14:paraId="0BD92F10" w14:textId="77777777" w:rsidTr="00F20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3D8C7A39" w14:textId="77777777" w:rsidR="009F303B" w:rsidRPr="003127E7" w:rsidRDefault="009F303B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5139BA7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6" w:type="dxa"/>
            <w:noWrap/>
            <w:vAlign w:val="center"/>
            <w:hideMark/>
          </w:tcPr>
          <w:p w14:paraId="2EB263CF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691" w:type="dxa"/>
            <w:noWrap/>
            <w:vAlign w:val="center"/>
            <w:hideMark/>
          </w:tcPr>
          <w:p w14:paraId="0CABBF1D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777" w:type="dxa"/>
            <w:noWrap/>
            <w:vAlign w:val="center"/>
            <w:hideMark/>
          </w:tcPr>
          <w:p w14:paraId="33CF76E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89" w:type="dxa"/>
            <w:noWrap/>
            <w:vAlign w:val="center"/>
            <w:hideMark/>
          </w:tcPr>
          <w:p w14:paraId="39106A2F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50" w:type="dxa"/>
            <w:noWrap/>
            <w:vAlign w:val="center"/>
            <w:hideMark/>
          </w:tcPr>
          <w:p w14:paraId="45C65BC0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38" w:type="dxa"/>
            <w:noWrap/>
            <w:vAlign w:val="center"/>
            <w:hideMark/>
          </w:tcPr>
          <w:p w14:paraId="65BAA3F2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27" w:type="dxa"/>
            <w:noWrap/>
            <w:vAlign w:val="center"/>
            <w:hideMark/>
          </w:tcPr>
          <w:p w14:paraId="44307AE4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13" w:type="dxa"/>
            <w:noWrap/>
            <w:vAlign w:val="center"/>
            <w:hideMark/>
          </w:tcPr>
          <w:p w14:paraId="12E75FF6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13" w:type="dxa"/>
            <w:noWrap/>
            <w:vAlign w:val="center"/>
            <w:hideMark/>
          </w:tcPr>
          <w:p w14:paraId="51591FC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32" w:type="dxa"/>
            <w:noWrap/>
            <w:vAlign w:val="center"/>
            <w:hideMark/>
          </w:tcPr>
          <w:p w14:paraId="63242293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54" w:type="dxa"/>
            <w:noWrap/>
            <w:vAlign w:val="center"/>
            <w:hideMark/>
          </w:tcPr>
          <w:p w14:paraId="7C4F5E14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912BC4" w:rsidRPr="005430E8" w14:paraId="6E9ED0B9" w14:textId="77777777" w:rsidTr="005A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25EF2DCA" w14:textId="55627C59" w:rsidR="00912BC4" w:rsidRPr="003127E7" w:rsidRDefault="00912BC4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2017</w:t>
            </w:r>
          </w:p>
        </w:tc>
        <w:tc>
          <w:tcPr>
            <w:tcW w:w="705" w:type="dxa"/>
            <w:noWrap/>
            <w:vAlign w:val="bottom"/>
          </w:tcPr>
          <w:p w14:paraId="63BC61F7" w14:textId="362DB6A0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-15,3</w:t>
            </w:r>
          </w:p>
        </w:tc>
        <w:tc>
          <w:tcPr>
            <w:tcW w:w="806" w:type="dxa"/>
            <w:noWrap/>
            <w:vAlign w:val="bottom"/>
          </w:tcPr>
          <w:p w14:paraId="4D073ACA" w14:textId="7F6BE1D3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-23,6</w:t>
            </w:r>
          </w:p>
        </w:tc>
        <w:tc>
          <w:tcPr>
            <w:tcW w:w="691" w:type="dxa"/>
            <w:noWrap/>
            <w:vAlign w:val="bottom"/>
          </w:tcPr>
          <w:p w14:paraId="29672D1A" w14:textId="2A2ECC27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-18,2</w:t>
            </w:r>
          </w:p>
        </w:tc>
        <w:tc>
          <w:tcPr>
            <w:tcW w:w="777" w:type="dxa"/>
            <w:noWrap/>
            <w:vAlign w:val="bottom"/>
          </w:tcPr>
          <w:p w14:paraId="763A107D" w14:textId="1644D869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-19,2</w:t>
            </w:r>
          </w:p>
        </w:tc>
        <w:tc>
          <w:tcPr>
            <w:tcW w:w="789" w:type="dxa"/>
            <w:noWrap/>
            <w:vAlign w:val="bottom"/>
          </w:tcPr>
          <w:p w14:paraId="2C9787A5" w14:textId="264D1B5B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-15,1</w:t>
            </w:r>
          </w:p>
        </w:tc>
        <w:tc>
          <w:tcPr>
            <w:tcW w:w="950" w:type="dxa"/>
            <w:noWrap/>
            <w:vAlign w:val="bottom"/>
          </w:tcPr>
          <w:p w14:paraId="4C3B7EB6" w14:textId="03B00AC3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-16,0</w:t>
            </w:r>
          </w:p>
        </w:tc>
        <w:tc>
          <w:tcPr>
            <w:tcW w:w="1038" w:type="dxa"/>
            <w:noWrap/>
            <w:vAlign w:val="bottom"/>
          </w:tcPr>
          <w:p w14:paraId="2178E7AF" w14:textId="0312A0D4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-21,0</w:t>
            </w:r>
          </w:p>
        </w:tc>
        <w:tc>
          <w:tcPr>
            <w:tcW w:w="1027" w:type="dxa"/>
            <w:noWrap/>
            <w:vAlign w:val="bottom"/>
          </w:tcPr>
          <w:p w14:paraId="365CD6B4" w14:textId="1E0AA91F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-17,4</w:t>
            </w:r>
          </w:p>
        </w:tc>
        <w:tc>
          <w:tcPr>
            <w:tcW w:w="713" w:type="dxa"/>
            <w:noWrap/>
            <w:vAlign w:val="bottom"/>
          </w:tcPr>
          <w:p w14:paraId="22A57EB9" w14:textId="1369E224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-17,1</w:t>
            </w:r>
          </w:p>
        </w:tc>
        <w:tc>
          <w:tcPr>
            <w:tcW w:w="713" w:type="dxa"/>
            <w:noWrap/>
            <w:vAlign w:val="bottom"/>
          </w:tcPr>
          <w:p w14:paraId="41FB560D" w14:textId="28E23C04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-13,2</w:t>
            </w:r>
          </w:p>
        </w:tc>
        <w:tc>
          <w:tcPr>
            <w:tcW w:w="832" w:type="dxa"/>
            <w:noWrap/>
            <w:vAlign w:val="bottom"/>
          </w:tcPr>
          <w:p w14:paraId="6220F834" w14:textId="51D1B3BA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-15,5</w:t>
            </w:r>
          </w:p>
        </w:tc>
        <w:tc>
          <w:tcPr>
            <w:tcW w:w="754" w:type="dxa"/>
            <w:noWrap/>
            <w:vAlign w:val="bottom"/>
          </w:tcPr>
          <w:p w14:paraId="25DEC7AC" w14:textId="22FEAD3A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-13,8</w:t>
            </w:r>
          </w:p>
        </w:tc>
      </w:tr>
      <w:tr w:rsidR="00912BC4" w:rsidRPr="00AD7D54" w14:paraId="797011B1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5DBA2EBC" w14:textId="77C9ADCC" w:rsidR="00912BC4" w:rsidRDefault="00912BC4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lastRenderedPageBreak/>
              <w:t>2018</w:t>
            </w:r>
          </w:p>
        </w:tc>
        <w:tc>
          <w:tcPr>
            <w:tcW w:w="705" w:type="dxa"/>
            <w:noWrap/>
            <w:vAlign w:val="bottom"/>
          </w:tcPr>
          <w:p w14:paraId="4A9FC0EE" w14:textId="36B4F8C0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-14,3</w:t>
            </w:r>
          </w:p>
        </w:tc>
        <w:tc>
          <w:tcPr>
            <w:tcW w:w="806" w:type="dxa"/>
            <w:noWrap/>
            <w:vAlign w:val="bottom"/>
          </w:tcPr>
          <w:p w14:paraId="6DB9541B" w14:textId="3B2B0EA3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-7,5</w:t>
            </w:r>
          </w:p>
        </w:tc>
        <w:tc>
          <w:tcPr>
            <w:tcW w:w="691" w:type="dxa"/>
            <w:noWrap/>
            <w:vAlign w:val="bottom"/>
          </w:tcPr>
          <w:p w14:paraId="79DC945B" w14:textId="2D5695A5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-12,5</w:t>
            </w:r>
          </w:p>
        </w:tc>
        <w:tc>
          <w:tcPr>
            <w:tcW w:w="777" w:type="dxa"/>
            <w:noWrap/>
            <w:vAlign w:val="bottom"/>
          </w:tcPr>
          <w:p w14:paraId="1E344D57" w14:textId="36A2E7C0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-16,8</w:t>
            </w:r>
          </w:p>
        </w:tc>
        <w:tc>
          <w:tcPr>
            <w:tcW w:w="789" w:type="dxa"/>
            <w:noWrap/>
            <w:vAlign w:val="bottom"/>
          </w:tcPr>
          <w:p w14:paraId="5787B3D5" w14:textId="287CE97B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-17,0</w:t>
            </w:r>
          </w:p>
        </w:tc>
        <w:tc>
          <w:tcPr>
            <w:tcW w:w="950" w:type="dxa"/>
            <w:noWrap/>
            <w:vAlign w:val="bottom"/>
          </w:tcPr>
          <w:p w14:paraId="0C0AD92F" w14:textId="6FC527B3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-14,1</w:t>
            </w:r>
          </w:p>
        </w:tc>
        <w:tc>
          <w:tcPr>
            <w:tcW w:w="1038" w:type="dxa"/>
            <w:noWrap/>
            <w:vAlign w:val="bottom"/>
          </w:tcPr>
          <w:p w14:paraId="173A9BA5" w14:textId="479BD007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-11,5</w:t>
            </w:r>
          </w:p>
        </w:tc>
        <w:tc>
          <w:tcPr>
            <w:tcW w:w="1027" w:type="dxa"/>
            <w:noWrap/>
            <w:vAlign w:val="bottom"/>
          </w:tcPr>
          <w:p w14:paraId="3E71CBED" w14:textId="73D30102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-15,9</w:t>
            </w:r>
          </w:p>
        </w:tc>
        <w:tc>
          <w:tcPr>
            <w:tcW w:w="713" w:type="dxa"/>
            <w:noWrap/>
            <w:vAlign w:val="bottom"/>
          </w:tcPr>
          <w:p w14:paraId="2EA92BC6" w14:textId="5EDB6B09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-16,3</w:t>
            </w:r>
          </w:p>
        </w:tc>
        <w:tc>
          <w:tcPr>
            <w:tcW w:w="713" w:type="dxa"/>
            <w:noWrap/>
            <w:vAlign w:val="bottom"/>
          </w:tcPr>
          <w:p w14:paraId="2B011B41" w14:textId="59FD2331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-16,8</w:t>
            </w:r>
          </w:p>
        </w:tc>
        <w:tc>
          <w:tcPr>
            <w:tcW w:w="832" w:type="dxa"/>
            <w:noWrap/>
            <w:vAlign w:val="bottom"/>
          </w:tcPr>
          <w:p w14:paraId="647F5BA9" w14:textId="1AB45218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-17,7</w:t>
            </w:r>
          </w:p>
        </w:tc>
        <w:tc>
          <w:tcPr>
            <w:tcW w:w="754" w:type="dxa"/>
            <w:noWrap/>
            <w:vAlign w:val="bottom"/>
          </w:tcPr>
          <w:p w14:paraId="04EC5470" w14:textId="23DEB163" w:rsidR="00912BC4" w:rsidRDefault="00912BC4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-5,4</w:t>
            </w:r>
          </w:p>
        </w:tc>
      </w:tr>
      <w:tr w:rsidR="00912BC4" w:rsidRPr="002A04C6" w14:paraId="66C0CF8C" w14:textId="77777777" w:rsidTr="00E25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5B63BEAB" w14:textId="4467F981" w:rsidR="00912BC4" w:rsidRDefault="00912BC4" w:rsidP="002A04C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2019</w:t>
            </w:r>
          </w:p>
        </w:tc>
        <w:tc>
          <w:tcPr>
            <w:tcW w:w="705" w:type="dxa"/>
            <w:noWrap/>
            <w:vAlign w:val="bottom"/>
          </w:tcPr>
          <w:p w14:paraId="1C967A45" w14:textId="2E05A730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-19,0</w:t>
            </w:r>
          </w:p>
        </w:tc>
        <w:tc>
          <w:tcPr>
            <w:tcW w:w="806" w:type="dxa"/>
            <w:noWrap/>
            <w:vAlign w:val="bottom"/>
          </w:tcPr>
          <w:p w14:paraId="53DD5BDE" w14:textId="4F80B8B6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-21,7</w:t>
            </w:r>
          </w:p>
        </w:tc>
        <w:tc>
          <w:tcPr>
            <w:tcW w:w="691" w:type="dxa"/>
            <w:noWrap/>
            <w:vAlign w:val="bottom"/>
          </w:tcPr>
          <w:p w14:paraId="6E1A3354" w14:textId="28DA0898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-15,0</w:t>
            </w:r>
          </w:p>
        </w:tc>
        <w:tc>
          <w:tcPr>
            <w:tcW w:w="777" w:type="dxa"/>
            <w:noWrap/>
            <w:vAlign w:val="bottom"/>
          </w:tcPr>
          <w:p w14:paraId="7E301BFE" w14:textId="0C88A275" w:rsidR="00912BC4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89" w:type="dxa"/>
            <w:noWrap/>
            <w:vAlign w:val="bottom"/>
          </w:tcPr>
          <w:p w14:paraId="16AED07E" w14:textId="70FF4861" w:rsidR="00912BC4" w:rsidRPr="004936AA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noWrap/>
            <w:vAlign w:val="bottom"/>
          </w:tcPr>
          <w:p w14:paraId="4B8136EF" w14:textId="43B42514" w:rsidR="00912BC4" w:rsidRPr="004936AA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38" w:type="dxa"/>
            <w:noWrap/>
            <w:vAlign w:val="bottom"/>
          </w:tcPr>
          <w:p w14:paraId="37253B67" w14:textId="0BC29AAA" w:rsidR="00912BC4" w:rsidRPr="004936AA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27" w:type="dxa"/>
            <w:noWrap/>
            <w:vAlign w:val="bottom"/>
          </w:tcPr>
          <w:p w14:paraId="2A64AA52" w14:textId="039BD18C" w:rsidR="00912BC4" w:rsidRPr="004936AA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14:paraId="72E6E5B3" w14:textId="4A3F909E" w:rsidR="00912BC4" w:rsidRPr="004936AA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14:paraId="1F070308" w14:textId="25A1C642" w:rsidR="00912BC4" w:rsidRPr="004936AA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32" w:type="dxa"/>
            <w:noWrap/>
            <w:vAlign w:val="bottom"/>
          </w:tcPr>
          <w:p w14:paraId="6B0C1F3F" w14:textId="480C944A" w:rsidR="00912BC4" w:rsidRPr="004936AA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54" w:type="dxa"/>
            <w:noWrap/>
            <w:vAlign w:val="center"/>
          </w:tcPr>
          <w:p w14:paraId="4B17AFD1" w14:textId="77777777" w:rsidR="00912BC4" w:rsidRPr="004936AA" w:rsidRDefault="00912BC4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04EDCB14" w14:textId="3032D5A0" w:rsidR="00D851C2" w:rsidRDefault="00446E2C" w:rsidP="00621D49">
      <w:pPr>
        <w:spacing w:after="0" w:line="240" w:lineRule="auto"/>
        <w:jc w:val="right"/>
        <w:rPr>
          <w:rFonts w:asciiTheme="minorHAnsi" w:eastAsia="Times New Roman" w:hAnsiTheme="minorHAnsi" w:cs="Arial"/>
          <w:color w:val="000000"/>
          <w:szCs w:val="20"/>
          <w:lang w:eastAsia="tr-TR"/>
        </w:rPr>
      </w:pPr>
      <w:r w:rsidRPr="002A04C6">
        <w:rPr>
          <w:rFonts w:asciiTheme="minorHAnsi" w:eastAsia="Times New Roman" w:hAnsiTheme="minorHAnsi" w:cs="Arial"/>
          <w:color w:val="000000"/>
          <w:szCs w:val="20"/>
          <w:lang w:eastAsia="tr-TR"/>
        </w:rPr>
        <w:tab/>
      </w:r>
    </w:p>
    <w:p w14:paraId="7030AD1B" w14:textId="77777777" w:rsidR="00D95C12" w:rsidRDefault="00D95C12" w:rsidP="00FA6D6A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75D9B045" w14:textId="65D5B2B3" w:rsidR="000B66D8" w:rsidRPr="003C775C" w:rsidRDefault="0016736F" w:rsidP="00710572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3C775C">
        <w:rPr>
          <w:rFonts w:asciiTheme="minorHAnsi" w:hAnsiTheme="minorHAnsi" w:cs="Arial"/>
          <w:color w:val="0070C0"/>
          <w:sz w:val="28"/>
        </w:rPr>
        <w:t>Perakendecilerin s</w:t>
      </w:r>
      <w:r w:rsidR="00A63943" w:rsidRPr="003C775C">
        <w:rPr>
          <w:rFonts w:asciiTheme="minorHAnsi" w:hAnsiTheme="minorHAnsi" w:cs="Arial"/>
          <w:color w:val="0070C0"/>
          <w:sz w:val="28"/>
        </w:rPr>
        <w:t xml:space="preserve">atış </w:t>
      </w:r>
      <w:r w:rsidR="00017F0B" w:rsidRPr="003C775C">
        <w:rPr>
          <w:rFonts w:asciiTheme="minorHAnsi" w:hAnsiTheme="minorHAnsi" w:cs="Arial"/>
          <w:color w:val="0070C0"/>
          <w:sz w:val="28"/>
        </w:rPr>
        <w:t>beklent</w:t>
      </w:r>
      <w:r w:rsidR="00F2759B" w:rsidRPr="003C775C">
        <w:rPr>
          <w:rFonts w:asciiTheme="minorHAnsi" w:hAnsiTheme="minorHAnsi" w:cs="Arial"/>
          <w:color w:val="0070C0"/>
          <w:sz w:val="28"/>
        </w:rPr>
        <w:t>ileri</w:t>
      </w:r>
      <w:r w:rsidR="001736CC" w:rsidRPr="003C775C">
        <w:rPr>
          <w:rFonts w:asciiTheme="minorHAnsi" w:hAnsiTheme="minorHAnsi" w:cs="Arial"/>
          <w:color w:val="0070C0"/>
          <w:sz w:val="28"/>
        </w:rPr>
        <w:t xml:space="preserve"> </w:t>
      </w:r>
      <w:r w:rsidR="003C775C" w:rsidRPr="003C775C">
        <w:rPr>
          <w:rFonts w:asciiTheme="minorHAnsi" w:hAnsiTheme="minorHAnsi" w:cs="Arial"/>
          <w:color w:val="0070C0"/>
          <w:sz w:val="28"/>
        </w:rPr>
        <w:t>geçen aya göre arttı</w:t>
      </w:r>
    </w:p>
    <w:p w14:paraId="3B4C42D9" w14:textId="2D93C6C6" w:rsidR="00035EC9" w:rsidRPr="003C775C" w:rsidRDefault="00C672B7" w:rsidP="0071057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3C775C">
        <w:rPr>
          <w:rFonts w:asciiTheme="minorHAnsi" w:hAnsiTheme="minorHAnsi" w:cs="Arial"/>
          <w:b w:val="0"/>
          <w:color w:val="0070C0"/>
          <w:sz w:val="24"/>
        </w:rPr>
        <w:t>Ö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nümüzdeki 3 aya ili</w:t>
      </w:r>
      <w:r w:rsidR="006D5D5B" w:rsidRPr="003C775C">
        <w:rPr>
          <w:rFonts w:asciiTheme="minorHAnsi" w:hAnsiTheme="minorHAnsi" w:cs="Arial"/>
          <w:b w:val="0"/>
          <w:color w:val="0070C0"/>
          <w:sz w:val="24"/>
        </w:rPr>
        <w:t xml:space="preserve">şkin </w:t>
      </w:r>
      <w:r w:rsidR="00C47E70" w:rsidRPr="003C775C">
        <w:rPr>
          <w:rFonts w:asciiTheme="minorHAnsi" w:hAnsiTheme="minorHAnsi" w:cs="Arial"/>
          <w:b w:val="0"/>
          <w:color w:val="0070C0"/>
          <w:sz w:val="24"/>
        </w:rPr>
        <w:t xml:space="preserve">satış </w:t>
      </w:r>
      <w:r w:rsidR="006D5D5B" w:rsidRPr="003C775C">
        <w:rPr>
          <w:rFonts w:asciiTheme="minorHAnsi" w:hAnsiTheme="minorHAnsi" w:cs="Arial"/>
          <w:b w:val="0"/>
          <w:color w:val="0070C0"/>
          <w:sz w:val="24"/>
        </w:rPr>
        <w:t>beklentilerin</w:t>
      </w:r>
      <w:r w:rsidR="006A747E" w:rsidRPr="003C775C">
        <w:rPr>
          <w:rFonts w:asciiTheme="minorHAnsi" w:hAnsiTheme="minorHAnsi" w:cs="Arial"/>
          <w:b w:val="0"/>
          <w:color w:val="0070C0"/>
          <w:sz w:val="24"/>
        </w:rPr>
        <w:t>in</w:t>
      </w:r>
      <w:r w:rsidR="006D5D5B" w:rsidRPr="003C775C">
        <w:rPr>
          <w:rFonts w:asciiTheme="minorHAnsi" w:hAnsiTheme="minorHAnsi" w:cs="Arial"/>
          <w:b w:val="0"/>
          <w:color w:val="0070C0"/>
          <w:sz w:val="24"/>
        </w:rPr>
        <w:t xml:space="preserve"> denge değeri </w:t>
      </w:r>
      <w:r w:rsidR="003C775C" w:rsidRPr="003C775C">
        <w:rPr>
          <w:rFonts w:asciiTheme="minorHAnsi" w:hAnsiTheme="minorHAnsi" w:cs="Arial"/>
          <w:b w:val="0"/>
          <w:color w:val="0070C0"/>
          <w:sz w:val="24"/>
        </w:rPr>
        <w:t>Mart</w:t>
      </w:r>
      <w:r w:rsidR="00710572" w:rsidRPr="003C775C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="00102BE3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3C775C" w:rsidRPr="003C775C">
        <w:rPr>
          <w:rFonts w:asciiTheme="minorHAnsi" w:hAnsiTheme="minorHAnsi" w:cs="Arial"/>
          <w:b w:val="0"/>
          <w:color w:val="0070C0"/>
          <w:sz w:val="24"/>
        </w:rPr>
        <w:t>-11,2</w:t>
      </w:r>
      <w:r w:rsidR="00CC3212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34EF9" w:rsidRPr="003C775C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186F84" w:rsidRPr="003C775C">
        <w:rPr>
          <w:rFonts w:asciiTheme="minorHAnsi" w:hAnsiTheme="minorHAnsi" w:cs="Arial"/>
          <w:b w:val="0"/>
          <w:color w:val="0070C0"/>
          <w:sz w:val="24"/>
        </w:rPr>
        <w:t>oldu</w:t>
      </w:r>
      <w:r w:rsidR="00134EF9" w:rsidRPr="003C775C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Buna göre önümüzdeki 3 aya ilişkin satış beklentileri, bir önceki aya göre </w:t>
      </w:r>
      <w:r w:rsidR="003C775C" w:rsidRPr="003C775C">
        <w:rPr>
          <w:rFonts w:asciiTheme="minorHAnsi" w:hAnsiTheme="minorHAnsi" w:cs="Arial"/>
          <w:b w:val="0"/>
          <w:color w:val="0070C0"/>
          <w:sz w:val="24"/>
        </w:rPr>
        <w:t>16,1</w:t>
      </w:r>
      <w:r w:rsidR="000211B4" w:rsidRPr="003C775C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3C775C" w:rsidRPr="003C775C">
        <w:rPr>
          <w:rFonts w:asciiTheme="minorHAnsi" w:hAnsiTheme="minorHAnsi" w:cs="Arial"/>
          <w:b w:val="0"/>
          <w:color w:val="0070C0"/>
          <w:sz w:val="24"/>
        </w:rPr>
        <w:t xml:space="preserve"> artarken</w:t>
      </w:r>
      <w:r w:rsidR="00710572" w:rsidRPr="003C775C">
        <w:rPr>
          <w:rFonts w:asciiTheme="minorHAnsi" w:hAnsiTheme="minorHAnsi" w:cs="Arial"/>
          <w:b w:val="0"/>
          <w:color w:val="0070C0"/>
          <w:sz w:val="24"/>
        </w:rPr>
        <w:t>,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 bir önceki yılı</w:t>
      </w:r>
      <w:r w:rsidR="00925C92" w:rsidRPr="003C775C">
        <w:rPr>
          <w:rFonts w:asciiTheme="minorHAnsi" w:hAnsiTheme="minorHAnsi" w:cs="Arial"/>
          <w:b w:val="0"/>
          <w:color w:val="0070C0"/>
          <w:sz w:val="24"/>
        </w:rPr>
        <w:t>n aynı ayına göre</w:t>
      </w:r>
      <w:r w:rsidR="003C775C" w:rsidRPr="003C775C">
        <w:rPr>
          <w:rFonts w:asciiTheme="minorHAnsi" w:hAnsiTheme="minorHAnsi" w:cs="Arial"/>
          <w:b w:val="0"/>
          <w:color w:val="0070C0"/>
          <w:sz w:val="24"/>
        </w:rPr>
        <w:t xml:space="preserve"> 6,1</w:t>
      </w:r>
      <w:r w:rsidR="00741BDA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E5E17" w:rsidRPr="003C775C">
        <w:rPr>
          <w:rFonts w:asciiTheme="minorHAnsi" w:hAnsiTheme="minorHAnsi" w:cs="Arial"/>
          <w:b w:val="0"/>
          <w:color w:val="0070C0"/>
          <w:sz w:val="24"/>
        </w:rPr>
        <w:t>puan a</w:t>
      </w:r>
      <w:r w:rsidR="0015385A" w:rsidRPr="003C775C">
        <w:rPr>
          <w:rFonts w:asciiTheme="minorHAnsi" w:hAnsiTheme="minorHAnsi" w:cs="Arial"/>
          <w:b w:val="0"/>
          <w:color w:val="0070C0"/>
          <w:sz w:val="24"/>
        </w:rPr>
        <w:t>zaldı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. </w:t>
      </w:r>
    </w:p>
    <w:p w14:paraId="77AD5B5E" w14:textId="77777777" w:rsidR="004936AA" w:rsidRPr="002F1F5C" w:rsidRDefault="004936AA" w:rsidP="00E46CB2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highlight w:val="yellow"/>
        </w:rPr>
      </w:pPr>
    </w:p>
    <w:p w14:paraId="4DA10C22" w14:textId="28CF158F" w:rsidR="00BE41EA" w:rsidRPr="00213119" w:rsidRDefault="003C775C" w:rsidP="0071057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3C775C">
        <w:rPr>
          <w:rFonts w:asciiTheme="minorHAnsi" w:hAnsiTheme="minorHAnsi" w:cs="Arial"/>
          <w:b w:val="0"/>
          <w:color w:val="0070C0"/>
          <w:sz w:val="24"/>
        </w:rPr>
        <w:t>Mart</w:t>
      </w:r>
      <w:r w:rsidR="00925C92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10572" w:rsidRPr="003C775C"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 xml:space="preserve"> TEPE anketi katılımcılarının yüzde</w:t>
      </w:r>
      <w:r w:rsidRPr="003C775C">
        <w:rPr>
          <w:rFonts w:asciiTheme="minorHAnsi" w:hAnsiTheme="minorHAnsi" w:cs="Arial"/>
          <w:b w:val="0"/>
          <w:color w:val="0070C0"/>
          <w:sz w:val="24"/>
        </w:rPr>
        <w:t xml:space="preserve"> 40,9’u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önümüzdeki 3 ayda işlerinde iyileşme beklerken</w:t>
      </w:r>
      <w:r w:rsidR="00C800B4" w:rsidRPr="003C775C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E5E17" w:rsidRPr="003C775C">
        <w:rPr>
          <w:rFonts w:asciiTheme="minorHAnsi" w:hAnsiTheme="minorHAnsi" w:cs="Arial"/>
          <w:b w:val="0"/>
          <w:color w:val="0070C0"/>
          <w:sz w:val="24"/>
        </w:rPr>
        <w:t xml:space="preserve">yüzde </w:t>
      </w:r>
      <w:r w:rsidRPr="003C775C">
        <w:rPr>
          <w:rFonts w:asciiTheme="minorHAnsi" w:hAnsiTheme="minorHAnsi" w:cs="Arial"/>
          <w:b w:val="0"/>
          <w:color w:val="0070C0"/>
          <w:sz w:val="24"/>
        </w:rPr>
        <w:t>32</w:t>
      </w:r>
      <w:r w:rsidR="000B6C29" w:rsidRPr="003C775C">
        <w:rPr>
          <w:rFonts w:asciiTheme="minorHAnsi" w:hAnsiTheme="minorHAnsi" w:cs="Arial"/>
          <w:b w:val="0"/>
          <w:color w:val="0070C0"/>
          <w:sz w:val="24"/>
        </w:rPr>
        <w:t>’</w:t>
      </w:r>
      <w:r w:rsidRPr="003C775C">
        <w:rPr>
          <w:rFonts w:asciiTheme="minorHAnsi" w:hAnsiTheme="minorHAnsi" w:cs="Arial"/>
          <w:b w:val="0"/>
          <w:color w:val="0070C0"/>
          <w:sz w:val="24"/>
        </w:rPr>
        <w:t>si</w:t>
      </w:r>
      <w:r w:rsidR="00566C25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işlerinde kötüle</w:t>
      </w:r>
      <w:r w:rsidR="00946F10" w:rsidRPr="003C775C">
        <w:rPr>
          <w:rFonts w:asciiTheme="minorHAnsi" w:hAnsiTheme="minorHAnsi" w:cs="Arial"/>
          <w:b w:val="0"/>
          <w:color w:val="0070C0"/>
          <w:sz w:val="24"/>
        </w:rPr>
        <w:t>şme</w:t>
      </w:r>
      <w:r w:rsidR="00566C25" w:rsidRPr="003C775C">
        <w:rPr>
          <w:rFonts w:asciiTheme="minorHAnsi" w:hAnsiTheme="minorHAnsi" w:cs="Arial"/>
          <w:b w:val="0"/>
          <w:color w:val="0070C0"/>
          <w:sz w:val="24"/>
        </w:rPr>
        <w:t xml:space="preserve"> beklediğini belirtti.</w:t>
      </w:r>
      <w:r w:rsidR="00946F10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İşlerinde bir değişiklik beklemeyenlerin oranı ise</w:t>
      </w:r>
      <w:r w:rsidR="008C1CC7" w:rsidRPr="003C775C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 w:rsidRPr="003C775C">
        <w:rPr>
          <w:rFonts w:asciiTheme="minorHAnsi" w:hAnsiTheme="minorHAnsi" w:cs="Arial"/>
          <w:b w:val="0"/>
          <w:color w:val="0070C0"/>
          <w:sz w:val="24"/>
        </w:rPr>
        <w:t>27,1</w:t>
      </w:r>
      <w:r w:rsidR="008B4FDA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ol</w:t>
      </w:r>
      <w:r w:rsidR="00B64C0D" w:rsidRPr="003C775C">
        <w:rPr>
          <w:rFonts w:asciiTheme="minorHAnsi" w:hAnsiTheme="minorHAnsi" w:cs="Arial"/>
          <w:b w:val="0"/>
          <w:color w:val="0070C0"/>
          <w:sz w:val="24"/>
        </w:rPr>
        <w:t>du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.</w:t>
      </w:r>
      <w:r w:rsidR="00201819" w:rsidRPr="00563959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42AF2CF9" w14:textId="77777777" w:rsidR="00213119" w:rsidRDefault="00213119" w:rsidP="004A57F1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14:paraId="365B5E00" w14:textId="1CCED104" w:rsidR="00F36ED3" w:rsidRDefault="00963B01" w:rsidP="00D53B7F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2</w:t>
      </w:r>
      <w:r w:rsidRPr="00662EBC">
        <w:rPr>
          <w:rFonts w:asciiTheme="minorHAnsi" w:hAnsiTheme="minorHAnsi"/>
          <w:b/>
        </w:rPr>
        <w:t xml:space="preserve">. </w:t>
      </w:r>
      <w:r w:rsidRPr="00662EBC">
        <w:rPr>
          <w:rFonts w:asciiTheme="minorHAnsi" w:hAnsiTheme="minorHAnsi"/>
        </w:rPr>
        <w:t xml:space="preserve">Önümüzdeki 3 aya ilişkin </w:t>
      </w:r>
      <w:r w:rsidR="0005752C">
        <w:rPr>
          <w:rFonts w:asciiTheme="minorHAnsi" w:hAnsiTheme="minorHAnsi"/>
        </w:rPr>
        <w:t xml:space="preserve">satış </w:t>
      </w:r>
      <w:r w:rsidRPr="00662EBC">
        <w:rPr>
          <w:rFonts w:asciiTheme="minorHAnsi" w:hAnsiTheme="minorHAnsi"/>
        </w:rPr>
        <w:t>beklenti</w:t>
      </w:r>
      <w:r w:rsidR="0005752C">
        <w:rPr>
          <w:rFonts w:asciiTheme="minorHAnsi" w:hAnsiTheme="minorHAnsi"/>
        </w:rPr>
        <w:t>si</w:t>
      </w:r>
      <w:r w:rsidR="003E2E4F" w:rsidRPr="00662EBC">
        <w:rPr>
          <w:noProof/>
          <w:lang w:eastAsia="tr-TR"/>
        </w:rPr>
        <w:t xml:space="preserve"> </w:t>
      </w:r>
      <w:r w:rsidR="00C60922">
        <w:rPr>
          <w:rFonts w:asciiTheme="minorHAnsi" w:hAnsiTheme="minorHAnsi"/>
        </w:rPr>
        <w:t>(</w:t>
      </w:r>
      <w:r w:rsidR="00912BC4">
        <w:rPr>
          <w:rFonts w:asciiTheme="minorHAnsi" w:hAnsiTheme="minorHAnsi"/>
        </w:rPr>
        <w:t>Mart</w:t>
      </w:r>
      <w:r w:rsidR="00D53B7F">
        <w:rPr>
          <w:rFonts w:asciiTheme="minorHAnsi" w:hAnsiTheme="minorHAnsi"/>
        </w:rPr>
        <w:t xml:space="preserve"> 2018</w:t>
      </w:r>
      <w:r w:rsidR="00D53B7F" w:rsidRPr="00662EBC">
        <w:rPr>
          <w:rFonts w:asciiTheme="minorHAnsi" w:hAnsiTheme="minorHAnsi"/>
        </w:rPr>
        <w:t xml:space="preserve"> –</w:t>
      </w:r>
      <w:r w:rsidR="00912BC4">
        <w:rPr>
          <w:rFonts w:asciiTheme="minorHAnsi" w:hAnsiTheme="minorHAnsi"/>
        </w:rPr>
        <w:t xml:space="preserve"> Mart</w:t>
      </w:r>
      <w:r w:rsidR="00D53B7F">
        <w:rPr>
          <w:rFonts w:asciiTheme="minorHAnsi" w:hAnsiTheme="minorHAnsi"/>
        </w:rPr>
        <w:t xml:space="preserve"> 2019</w:t>
      </w:r>
      <w:r w:rsidR="004A57F1" w:rsidRPr="00662EBC">
        <w:rPr>
          <w:rFonts w:asciiTheme="minorHAnsi" w:hAnsiTheme="minorHAnsi"/>
        </w:rPr>
        <w:t>)</w:t>
      </w:r>
    </w:p>
    <w:p w14:paraId="6A32042F" w14:textId="4CFB668F" w:rsidR="00CE395C" w:rsidRDefault="00912BC4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639A57BC" wp14:editId="5DEC8494">
            <wp:extent cx="5759450" cy="2381912"/>
            <wp:effectExtent l="0" t="0" r="12700" b="1841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D76547" w14:textId="77777777" w:rsidR="00D036F0" w:rsidRDefault="00D036F0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2A865E90" w14:textId="77777777" w:rsidR="00FC3E7F" w:rsidRDefault="00FC3E7F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7FE679A0" w14:textId="77777777" w:rsidR="003026B7" w:rsidRPr="003127E7" w:rsidRDefault="00C41514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Tablo-2</w:t>
      </w:r>
      <w:r w:rsidR="003026B7" w:rsidRPr="00662EBC">
        <w:rPr>
          <w:rFonts w:asciiTheme="minorHAnsi" w:hAnsiTheme="minorHAnsi"/>
          <w:b/>
        </w:rPr>
        <w:t>.</w:t>
      </w:r>
      <w:r w:rsidR="004A57F1" w:rsidRPr="00662EBC">
        <w:rPr>
          <w:rFonts w:asciiTheme="minorHAnsi" w:hAnsiTheme="minorHAnsi"/>
        </w:rPr>
        <w:t xml:space="preserve"> </w:t>
      </w:r>
      <w:r w:rsidR="003026B7" w:rsidRPr="00662EBC">
        <w:rPr>
          <w:rFonts w:asciiTheme="minorHAnsi" w:hAnsiTheme="minorHAnsi"/>
        </w:rPr>
        <w:t>Önümüzdeki 3 aya ilişkin</w:t>
      </w:r>
      <w:r w:rsidR="0005752C">
        <w:rPr>
          <w:rFonts w:asciiTheme="minorHAnsi" w:hAnsiTheme="minorHAnsi"/>
        </w:rPr>
        <w:t xml:space="preserve"> satış</w:t>
      </w:r>
      <w:r w:rsidR="003026B7" w:rsidRPr="00662EBC">
        <w:rPr>
          <w:rFonts w:asciiTheme="minorHAnsi" w:hAnsiTheme="minorHAnsi"/>
        </w:rPr>
        <w:t xml:space="preserve"> beklenti</w:t>
      </w:r>
      <w:r w:rsidR="0005752C">
        <w:rPr>
          <w:rFonts w:asciiTheme="minorHAnsi" w:hAnsiTheme="minorHAnsi"/>
        </w:rPr>
        <w:t>si</w:t>
      </w:r>
      <w:r w:rsidR="008C07C8">
        <w:rPr>
          <w:rFonts w:asciiTheme="minorHAnsi" w:hAnsiTheme="minorHAnsi"/>
        </w:rPr>
        <w:t xml:space="preserve">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A1365" w:rsidRPr="003127E7" w14:paraId="14CBEFF7" w14:textId="77777777" w:rsidTr="005B3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47D4DB9F" w14:textId="77777777" w:rsidR="003026B7" w:rsidRPr="00346335" w:rsidRDefault="003026B7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4BFA3D33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5A0AB09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672522E9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16B93C3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5B487960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06653ED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75281484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1DA8136D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53FDFFA8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5245BFA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58D71C0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4F5BEE2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912BC4" w:rsidRPr="003127E7" w14:paraId="01CA5686" w14:textId="77777777" w:rsidTr="0080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6EC18722" w14:textId="702A7A32" w:rsidR="00912BC4" w:rsidRPr="00346335" w:rsidRDefault="00912BC4" w:rsidP="00645CE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116A0A3B" w14:textId="300CF483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-6,6</w:t>
            </w:r>
          </w:p>
        </w:tc>
        <w:tc>
          <w:tcPr>
            <w:tcW w:w="807" w:type="dxa"/>
            <w:noWrap/>
            <w:vAlign w:val="bottom"/>
          </w:tcPr>
          <w:p w14:paraId="2C173C0C" w14:textId="1E8FAFBB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-39,7</w:t>
            </w:r>
          </w:p>
        </w:tc>
        <w:tc>
          <w:tcPr>
            <w:tcW w:w="708" w:type="dxa"/>
            <w:noWrap/>
            <w:vAlign w:val="bottom"/>
          </w:tcPr>
          <w:p w14:paraId="12675E32" w14:textId="29BFDA0A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-15,6</w:t>
            </w:r>
          </w:p>
        </w:tc>
        <w:tc>
          <w:tcPr>
            <w:tcW w:w="808" w:type="dxa"/>
            <w:noWrap/>
            <w:vAlign w:val="bottom"/>
          </w:tcPr>
          <w:p w14:paraId="229562BB" w14:textId="2172FA64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-16,1</w:t>
            </w:r>
          </w:p>
        </w:tc>
        <w:tc>
          <w:tcPr>
            <w:tcW w:w="808" w:type="dxa"/>
            <w:noWrap/>
            <w:vAlign w:val="bottom"/>
          </w:tcPr>
          <w:p w14:paraId="57F96D1C" w14:textId="3E8AB0CC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-7,2</w:t>
            </w:r>
          </w:p>
        </w:tc>
        <w:tc>
          <w:tcPr>
            <w:tcW w:w="974" w:type="dxa"/>
            <w:noWrap/>
            <w:vAlign w:val="bottom"/>
          </w:tcPr>
          <w:p w14:paraId="16DBA876" w14:textId="3B7C41A3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-6,2</w:t>
            </w:r>
          </w:p>
        </w:tc>
        <w:tc>
          <w:tcPr>
            <w:tcW w:w="1063" w:type="dxa"/>
            <w:noWrap/>
            <w:vAlign w:val="bottom"/>
          </w:tcPr>
          <w:p w14:paraId="03DA6FD1" w14:textId="71256DF1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-19,1</w:t>
            </w:r>
          </w:p>
        </w:tc>
        <w:tc>
          <w:tcPr>
            <w:tcW w:w="1052" w:type="dxa"/>
            <w:noWrap/>
            <w:vAlign w:val="bottom"/>
          </w:tcPr>
          <w:p w14:paraId="6E005A33" w14:textId="114D5A50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-9,3</w:t>
            </w:r>
          </w:p>
        </w:tc>
        <w:tc>
          <w:tcPr>
            <w:tcW w:w="730" w:type="dxa"/>
            <w:noWrap/>
            <w:vAlign w:val="bottom"/>
          </w:tcPr>
          <w:p w14:paraId="1E9135FD" w14:textId="73B7C1B1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-7,2</w:t>
            </w:r>
          </w:p>
        </w:tc>
        <w:tc>
          <w:tcPr>
            <w:tcW w:w="730" w:type="dxa"/>
            <w:noWrap/>
            <w:vAlign w:val="bottom"/>
          </w:tcPr>
          <w:p w14:paraId="43D0EE45" w14:textId="577FDBED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-3,4</w:t>
            </w:r>
          </w:p>
        </w:tc>
        <w:tc>
          <w:tcPr>
            <w:tcW w:w="852" w:type="dxa"/>
            <w:noWrap/>
            <w:vAlign w:val="bottom"/>
          </w:tcPr>
          <w:p w14:paraId="4151B238" w14:textId="27FB7558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-6,3</w:t>
            </w:r>
          </w:p>
        </w:tc>
        <w:tc>
          <w:tcPr>
            <w:tcW w:w="808" w:type="dxa"/>
            <w:noWrap/>
            <w:vAlign w:val="bottom"/>
          </w:tcPr>
          <w:p w14:paraId="762EF06C" w14:textId="2096F49F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</w:t>
            </w:r>
          </w:p>
        </w:tc>
      </w:tr>
      <w:tr w:rsidR="00912BC4" w:rsidRPr="003127E7" w14:paraId="6287B474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A660CC0" w14:textId="6219CE4C" w:rsidR="00912BC4" w:rsidRDefault="00912BC4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4803F2D3" w14:textId="7B9AEBF6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-10,0</w:t>
            </w:r>
          </w:p>
        </w:tc>
        <w:tc>
          <w:tcPr>
            <w:tcW w:w="807" w:type="dxa"/>
            <w:noWrap/>
            <w:vAlign w:val="bottom"/>
          </w:tcPr>
          <w:p w14:paraId="5A8767A9" w14:textId="246EBBF1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</w:t>
            </w:r>
          </w:p>
        </w:tc>
        <w:tc>
          <w:tcPr>
            <w:tcW w:w="708" w:type="dxa"/>
            <w:noWrap/>
            <w:vAlign w:val="bottom"/>
          </w:tcPr>
          <w:p w14:paraId="17A0A486" w14:textId="1F72D44F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-5,1</w:t>
            </w:r>
          </w:p>
        </w:tc>
        <w:tc>
          <w:tcPr>
            <w:tcW w:w="808" w:type="dxa"/>
            <w:noWrap/>
            <w:vAlign w:val="bottom"/>
          </w:tcPr>
          <w:p w14:paraId="08D47243" w14:textId="3B2EC5A2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-11,2</w:t>
            </w:r>
          </w:p>
        </w:tc>
        <w:tc>
          <w:tcPr>
            <w:tcW w:w="808" w:type="dxa"/>
            <w:noWrap/>
            <w:vAlign w:val="bottom"/>
          </w:tcPr>
          <w:p w14:paraId="5930360D" w14:textId="72A21B16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-14,3</w:t>
            </w:r>
          </w:p>
        </w:tc>
        <w:tc>
          <w:tcPr>
            <w:tcW w:w="974" w:type="dxa"/>
            <w:noWrap/>
            <w:vAlign w:val="bottom"/>
          </w:tcPr>
          <w:p w14:paraId="29967607" w14:textId="2BCC6963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-1,3</w:t>
            </w:r>
          </w:p>
        </w:tc>
        <w:tc>
          <w:tcPr>
            <w:tcW w:w="1063" w:type="dxa"/>
            <w:noWrap/>
            <w:vAlign w:val="bottom"/>
          </w:tcPr>
          <w:p w14:paraId="0C3AB433" w14:textId="305DC0DE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-5,4</w:t>
            </w:r>
          </w:p>
        </w:tc>
        <w:tc>
          <w:tcPr>
            <w:tcW w:w="1052" w:type="dxa"/>
            <w:noWrap/>
            <w:vAlign w:val="bottom"/>
          </w:tcPr>
          <w:p w14:paraId="431FD135" w14:textId="42BBDE13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-17,3</w:t>
            </w:r>
          </w:p>
        </w:tc>
        <w:tc>
          <w:tcPr>
            <w:tcW w:w="730" w:type="dxa"/>
            <w:noWrap/>
            <w:vAlign w:val="bottom"/>
          </w:tcPr>
          <w:p w14:paraId="36A9BF70" w14:textId="7F5F9ACE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-15,3</w:t>
            </w:r>
          </w:p>
        </w:tc>
        <w:tc>
          <w:tcPr>
            <w:tcW w:w="730" w:type="dxa"/>
            <w:noWrap/>
            <w:vAlign w:val="bottom"/>
          </w:tcPr>
          <w:p w14:paraId="2921F5B8" w14:textId="769B83AD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-19,2</w:t>
            </w:r>
          </w:p>
        </w:tc>
        <w:tc>
          <w:tcPr>
            <w:tcW w:w="852" w:type="dxa"/>
            <w:noWrap/>
            <w:vAlign w:val="bottom"/>
          </w:tcPr>
          <w:p w14:paraId="16DC5901" w14:textId="6C629632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-15,7</w:t>
            </w:r>
          </w:p>
        </w:tc>
        <w:tc>
          <w:tcPr>
            <w:tcW w:w="808" w:type="dxa"/>
            <w:noWrap/>
            <w:vAlign w:val="bottom"/>
          </w:tcPr>
          <w:p w14:paraId="1E4F47F1" w14:textId="43954B4D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18,6</w:t>
            </w:r>
          </w:p>
        </w:tc>
      </w:tr>
      <w:tr w:rsidR="00912BC4" w:rsidRPr="003127E7" w14:paraId="4BFE4A26" w14:textId="77777777" w:rsidTr="00DF1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0B22A00F" w14:textId="17888CE6" w:rsidR="00912BC4" w:rsidRDefault="00912BC4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4A6311BA" w14:textId="4FBB3273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-17,3</w:t>
            </w:r>
          </w:p>
        </w:tc>
        <w:tc>
          <w:tcPr>
            <w:tcW w:w="807" w:type="dxa"/>
            <w:noWrap/>
            <w:vAlign w:val="bottom"/>
          </w:tcPr>
          <w:p w14:paraId="55ABE1D6" w14:textId="0828812B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-27,3</w:t>
            </w:r>
          </w:p>
        </w:tc>
        <w:tc>
          <w:tcPr>
            <w:tcW w:w="708" w:type="dxa"/>
            <w:noWrap/>
            <w:vAlign w:val="bottom"/>
          </w:tcPr>
          <w:p w14:paraId="3E03C3B5" w14:textId="57E91B1B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-11,2</w:t>
            </w:r>
          </w:p>
        </w:tc>
        <w:tc>
          <w:tcPr>
            <w:tcW w:w="808" w:type="dxa"/>
            <w:noWrap/>
            <w:vAlign w:val="bottom"/>
          </w:tcPr>
          <w:p w14:paraId="3177BEFC" w14:textId="303544B2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59E6A748" w14:textId="6EF460DF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00AC57EA" w14:textId="4BAAB526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14:paraId="6EB56EEB" w14:textId="39ECC768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14:paraId="416D0F14" w14:textId="1DBB6A61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0FE85241" w14:textId="1F1C5A28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5EA82EE0" w14:textId="20B371AA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14:paraId="751B281B" w14:textId="3BB81968" w:rsidR="00912BC4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14:paraId="2DDE80C1" w14:textId="77777777" w:rsidR="00912BC4" w:rsidRPr="008A22AB" w:rsidRDefault="00912BC4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756F6C11" w14:textId="77777777" w:rsidR="004510BE" w:rsidRDefault="004510BE" w:rsidP="009F095F">
      <w:pPr>
        <w:jc w:val="center"/>
        <w:rPr>
          <w:rFonts w:asciiTheme="minorHAnsi" w:hAnsiTheme="minorHAnsi" w:cs="Arial"/>
        </w:rPr>
      </w:pPr>
    </w:p>
    <w:p w14:paraId="4E91C754" w14:textId="77777777" w:rsidR="00045876" w:rsidRPr="008A22AB" w:rsidRDefault="00045876" w:rsidP="00102BE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lang w:eastAsia="tr-TR"/>
        </w:rPr>
      </w:pPr>
    </w:p>
    <w:p w14:paraId="4998C4CC" w14:textId="77777777" w:rsidR="008866B1" w:rsidRDefault="008866B1" w:rsidP="00201819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04C29370" w14:textId="2C13A8AE" w:rsidR="00201819" w:rsidRPr="00577FCC" w:rsidRDefault="009A0C17" w:rsidP="001736CC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577FCC">
        <w:rPr>
          <w:rFonts w:asciiTheme="minorHAnsi" w:hAnsiTheme="minorHAnsi" w:cs="Arial"/>
          <w:color w:val="0070C0"/>
          <w:sz w:val="28"/>
        </w:rPr>
        <w:t>İşlerin</w:t>
      </w:r>
      <w:r w:rsidR="00B72793" w:rsidRPr="00577FCC">
        <w:rPr>
          <w:rFonts w:asciiTheme="minorHAnsi" w:hAnsiTheme="minorHAnsi" w:cs="Arial"/>
          <w:color w:val="0070C0"/>
          <w:sz w:val="28"/>
        </w:rPr>
        <w:t xml:space="preserve"> g</w:t>
      </w:r>
      <w:r w:rsidR="006F4188" w:rsidRPr="00577FCC">
        <w:rPr>
          <w:rFonts w:asciiTheme="minorHAnsi" w:hAnsiTheme="minorHAnsi" w:cs="Arial"/>
          <w:color w:val="0070C0"/>
          <w:sz w:val="28"/>
        </w:rPr>
        <w:t xml:space="preserve">eçen yılın aynı dönemine göre </w:t>
      </w:r>
      <w:r w:rsidR="004A569A" w:rsidRPr="00577FCC">
        <w:rPr>
          <w:rFonts w:asciiTheme="minorHAnsi" w:hAnsiTheme="minorHAnsi" w:cs="Arial"/>
          <w:color w:val="0070C0"/>
          <w:sz w:val="28"/>
        </w:rPr>
        <w:t>durumu</w:t>
      </w:r>
      <w:r w:rsidR="00D42047" w:rsidRPr="00577FCC">
        <w:rPr>
          <w:rFonts w:asciiTheme="minorHAnsi" w:hAnsiTheme="minorHAnsi" w:cs="Arial"/>
          <w:color w:val="0070C0"/>
          <w:sz w:val="28"/>
        </w:rPr>
        <w:t xml:space="preserve"> </w:t>
      </w:r>
      <w:r w:rsidR="00577FCC" w:rsidRPr="00577FCC">
        <w:rPr>
          <w:rFonts w:asciiTheme="minorHAnsi" w:hAnsiTheme="minorHAnsi" w:cs="Arial"/>
          <w:color w:val="0070C0"/>
          <w:sz w:val="28"/>
        </w:rPr>
        <w:t>iyileşti</w:t>
      </w:r>
    </w:p>
    <w:p w14:paraId="379EF48C" w14:textId="6E856965" w:rsidR="007D79D2" w:rsidRPr="00577FCC" w:rsidRDefault="00A54111" w:rsidP="00661E4A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577FCC">
        <w:rPr>
          <w:rFonts w:asciiTheme="minorHAnsi" w:hAnsiTheme="minorHAnsi" w:cs="Arial"/>
          <w:b w:val="0"/>
          <w:color w:val="0070C0"/>
          <w:sz w:val="24"/>
        </w:rPr>
        <w:t>İ</w:t>
      </w:r>
      <w:r w:rsidR="00186F84" w:rsidRPr="00577FCC">
        <w:rPr>
          <w:rFonts w:asciiTheme="minorHAnsi" w:hAnsiTheme="minorHAnsi" w:cs="Arial"/>
          <w:b w:val="0"/>
          <w:color w:val="0070C0"/>
          <w:sz w:val="24"/>
        </w:rPr>
        <w:t xml:space="preserve">şlerin </w:t>
      </w:r>
      <w:r w:rsidR="00B053BE" w:rsidRPr="00577FCC">
        <w:rPr>
          <w:rFonts w:asciiTheme="minorHAnsi" w:hAnsiTheme="minorHAnsi" w:cs="Arial"/>
          <w:b w:val="0"/>
          <w:color w:val="0070C0"/>
          <w:sz w:val="24"/>
        </w:rPr>
        <w:t>geçen yılın</w:t>
      </w:r>
      <w:r w:rsidR="009E4147" w:rsidRPr="00577FCC">
        <w:rPr>
          <w:rFonts w:asciiTheme="minorHAnsi" w:hAnsiTheme="minorHAnsi" w:cs="Arial"/>
          <w:b w:val="0"/>
          <w:color w:val="0070C0"/>
          <w:sz w:val="24"/>
        </w:rPr>
        <w:t xml:space="preserve"> aynı dönemine göre durumu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>Mart</w:t>
      </w:r>
      <w:r w:rsidR="00661E4A" w:rsidRPr="00577FCC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>35,3</w:t>
      </w:r>
      <w:r w:rsidR="00F1303C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053BE" w:rsidRPr="00577FCC">
        <w:rPr>
          <w:rFonts w:asciiTheme="minorHAnsi" w:hAnsiTheme="minorHAnsi" w:cs="Arial"/>
          <w:b w:val="0"/>
          <w:color w:val="0070C0"/>
          <w:sz w:val="24"/>
        </w:rPr>
        <w:t xml:space="preserve">puan değerini </w:t>
      </w:r>
      <w:r w:rsidR="000B4D53" w:rsidRPr="00577FCC">
        <w:rPr>
          <w:rFonts w:asciiTheme="minorHAnsi" w:hAnsiTheme="minorHAnsi" w:cs="Arial"/>
          <w:b w:val="0"/>
          <w:color w:val="0070C0"/>
          <w:sz w:val="24"/>
        </w:rPr>
        <w:t>al</w:t>
      </w:r>
      <w:r w:rsidR="00186F84" w:rsidRPr="00577FCC">
        <w:rPr>
          <w:rFonts w:asciiTheme="minorHAnsi" w:hAnsiTheme="minorHAnsi" w:cs="Arial"/>
          <w:b w:val="0"/>
          <w:color w:val="0070C0"/>
          <w:sz w:val="24"/>
        </w:rPr>
        <w:t>arak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>Şubat</w:t>
      </w:r>
      <w:r w:rsidR="00BD276C" w:rsidRPr="00577FCC">
        <w:rPr>
          <w:rFonts w:asciiTheme="minorHAnsi" w:hAnsiTheme="minorHAnsi" w:cs="Arial"/>
          <w:b w:val="0"/>
          <w:color w:val="0070C0"/>
          <w:sz w:val="24"/>
        </w:rPr>
        <w:t xml:space="preserve"> 2019</w:t>
      </w:r>
      <w:r w:rsidR="00F1303C" w:rsidRPr="00577FCC">
        <w:rPr>
          <w:rFonts w:asciiTheme="minorHAnsi" w:hAnsiTheme="minorHAnsi" w:cs="Arial"/>
          <w:b w:val="0"/>
          <w:color w:val="0070C0"/>
          <w:sz w:val="24"/>
        </w:rPr>
        <w:t>’</w:t>
      </w:r>
      <w:r w:rsidR="00BD276C" w:rsidRPr="00577FCC">
        <w:rPr>
          <w:rFonts w:asciiTheme="minorHAnsi" w:hAnsiTheme="minorHAnsi" w:cs="Arial"/>
          <w:b w:val="0"/>
          <w:color w:val="0070C0"/>
          <w:sz w:val="24"/>
        </w:rPr>
        <w:t>a</w:t>
      </w:r>
      <w:r w:rsidR="009E4147" w:rsidRPr="00577FCC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>16,1</w:t>
      </w:r>
      <w:r w:rsidR="000C4E46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>puan</w:t>
      </w:r>
      <w:r w:rsidR="00BD276C" w:rsidRPr="00577FCC">
        <w:rPr>
          <w:rFonts w:asciiTheme="minorHAnsi" w:hAnsiTheme="minorHAnsi" w:cs="Arial"/>
          <w:b w:val="0"/>
          <w:color w:val="0070C0"/>
          <w:sz w:val="24"/>
        </w:rPr>
        <w:t xml:space="preserve"> artarken</w:t>
      </w:r>
      <w:r w:rsidR="001736CC" w:rsidRPr="00577FCC">
        <w:rPr>
          <w:rFonts w:asciiTheme="minorHAnsi" w:hAnsiTheme="minorHAnsi" w:cs="Arial"/>
          <w:b w:val="0"/>
          <w:color w:val="0070C0"/>
          <w:sz w:val="24"/>
        </w:rPr>
        <w:t>,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 xml:space="preserve">Mart </w:t>
      </w:r>
      <w:r w:rsidR="00661E4A" w:rsidRPr="00577FCC">
        <w:rPr>
          <w:rFonts w:asciiTheme="minorHAnsi" w:hAnsiTheme="minorHAnsi" w:cs="Arial"/>
          <w:b w:val="0"/>
          <w:color w:val="0070C0"/>
          <w:sz w:val="24"/>
        </w:rPr>
        <w:t>2018’</w:t>
      </w:r>
      <w:r w:rsidR="00805B17" w:rsidRPr="00577FCC">
        <w:rPr>
          <w:rFonts w:asciiTheme="minorHAnsi" w:hAnsiTheme="minorHAnsi" w:cs="Arial"/>
          <w:b w:val="0"/>
          <w:color w:val="0070C0"/>
          <w:sz w:val="24"/>
        </w:rPr>
        <w:t>e</w:t>
      </w:r>
      <w:r w:rsidR="009E4147" w:rsidRPr="00577FCC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>4,2</w:t>
      </w:r>
      <w:r w:rsidR="00F1303C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736CC" w:rsidRPr="00577FCC">
        <w:rPr>
          <w:rFonts w:asciiTheme="minorHAnsi" w:hAnsiTheme="minorHAnsi" w:cs="Arial"/>
          <w:b w:val="0"/>
          <w:color w:val="0070C0"/>
          <w:sz w:val="24"/>
        </w:rPr>
        <w:t>puan azaldı</w:t>
      </w:r>
      <w:r w:rsidR="00B053BE" w:rsidRPr="00577FCC">
        <w:rPr>
          <w:rFonts w:asciiTheme="minorHAnsi" w:hAnsiTheme="minorHAnsi" w:cs="Arial"/>
          <w:b w:val="0"/>
          <w:color w:val="0070C0"/>
          <w:sz w:val="24"/>
        </w:rPr>
        <w:t>.</w:t>
      </w:r>
      <w:r w:rsidR="00186F84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681875ED" w14:textId="77777777" w:rsidR="007D79D2" w:rsidRPr="002F1F5C" w:rsidRDefault="007D79D2" w:rsidP="00201819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highlight w:val="yellow"/>
        </w:rPr>
      </w:pPr>
    </w:p>
    <w:p w14:paraId="0D70E17D" w14:textId="6F6B25B7" w:rsidR="00201819" w:rsidRPr="00591045" w:rsidRDefault="00577FCC" w:rsidP="006D4740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577FCC">
        <w:rPr>
          <w:rFonts w:asciiTheme="minorHAnsi" w:hAnsiTheme="minorHAnsi" w:cs="Arial"/>
          <w:b w:val="0"/>
          <w:color w:val="0070C0"/>
          <w:sz w:val="24"/>
        </w:rPr>
        <w:t>Mart</w:t>
      </w:r>
      <w:r w:rsidR="00E46CB2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61E4A" w:rsidRPr="00577FCC"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 xml:space="preserve"> TEPE </w:t>
      </w:r>
      <w:r w:rsidR="00CA7E8C" w:rsidRPr="00577FCC">
        <w:rPr>
          <w:rFonts w:asciiTheme="minorHAnsi" w:hAnsiTheme="minorHAnsi" w:cs="Arial"/>
          <w:b w:val="0"/>
          <w:color w:val="0070C0"/>
          <w:sz w:val="24"/>
        </w:rPr>
        <w:t xml:space="preserve">anketi katılımcılarının yüzde </w:t>
      </w:r>
      <w:r w:rsidRPr="00577FCC">
        <w:rPr>
          <w:rFonts w:asciiTheme="minorHAnsi" w:hAnsiTheme="minorHAnsi" w:cs="Arial"/>
          <w:b w:val="0"/>
          <w:color w:val="0070C0"/>
          <w:sz w:val="24"/>
        </w:rPr>
        <w:t>19’u</w:t>
      </w:r>
      <w:r w:rsidR="00F87E72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göre işlerinde artış olduğunu belirtirken, işlerinde düşüş olduğunu belirtenlerin oranı yüzde </w:t>
      </w:r>
      <w:r w:rsidRPr="00577FCC">
        <w:rPr>
          <w:rFonts w:asciiTheme="minorHAnsi" w:hAnsiTheme="minorHAnsi" w:cs="Arial"/>
          <w:b w:val="0"/>
          <w:color w:val="0070C0"/>
          <w:sz w:val="24"/>
        </w:rPr>
        <w:t>54,2</w:t>
      </w:r>
      <w:r w:rsidR="004F1AAC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>olarak belirlendi. Geçen yıla göre işlerinde bir değişiklik olmadığını belirtenlerin oranı ise</w:t>
      </w:r>
      <w:r w:rsidR="00BC5219" w:rsidRPr="00577FCC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 w:rsidRPr="00577FCC">
        <w:rPr>
          <w:rFonts w:asciiTheme="minorHAnsi" w:hAnsiTheme="minorHAnsi" w:cs="Arial"/>
          <w:b w:val="0"/>
          <w:color w:val="0070C0"/>
          <w:sz w:val="24"/>
        </w:rPr>
        <w:t>26,8</w:t>
      </w:r>
      <w:r w:rsidR="009A23DB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>oldu.</w:t>
      </w:r>
      <w:r w:rsidR="00566C25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3E872A76" w14:textId="77777777" w:rsidR="008A3410" w:rsidRDefault="008A3410" w:rsidP="001875AA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14:paraId="4B06E212" w14:textId="44DC5D3C" w:rsidR="002A43C6" w:rsidRDefault="00963B01" w:rsidP="00D53B7F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5B326E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3</w:t>
      </w:r>
      <w:r w:rsidRPr="005B326E">
        <w:rPr>
          <w:rFonts w:asciiTheme="minorHAnsi" w:hAnsiTheme="minorHAnsi"/>
          <w:b/>
        </w:rPr>
        <w:t>.</w:t>
      </w:r>
      <w:r w:rsidR="004A57F1" w:rsidRPr="005B326E">
        <w:rPr>
          <w:rFonts w:asciiTheme="minorHAnsi" w:hAnsiTheme="minorHAnsi"/>
        </w:rPr>
        <w:t xml:space="preserve"> </w:t>
      </w:r>
      <w:r w:rsidRPr="005B326E">
        <w:rPr>
          <w:rFonts w:asciiTheme="minorHAnsi" w:hAnsiTheme="minorHAnsi"/>
        </w:rPr>
        <w:t>İşlerin geçen yı</w:t>
      </w:r>
      <w:r w:rsidR="004B440A">
        <w:rPr>
          <w:rFonts w:asciiTheme="minorHAnsi" w:hAnsiTheme="minorHAnsi"/>
        </w:rPr>
        <w:t>lın ayn</w:t>
      </w:r>
      <w:r w:rsidR="008C07C8">
        <w:rPr>
          <w:rFonts w:asciiTheme="minorHAnsi" w:hAnsiTheme="minorHAnsi"/>
        </w:rPr>
        <w:t>ı dönemine göre durumu</w:t>
      </w:r>
      <w:r w:rsidR="00ED20F8">
        <w:rPr>
          <w:rFonts w:asciiTheme="minorHAnsi" w:hAnsiTheme="minorHAnsi"/>
        </w:rPr>
        <w:t xml:space="preserve"> </w:t>
      </w:r>
      <w:r w:rsidR="004A57F1" w:rsidRPr="005B326E">
        <w:rPr>
          <w:rFonts w:asciiTheme="minorHAnsi" w:hAnsiTheme="minorHAnsi"/>
        </w:rPr>
        <w:t>(</w:t>
      </w:r>
      <w:r w:rsidR="00912BC4">
        <w:rPr>
          <w:rFonts w:asciiTheme="minorHAnsi" w:hAnsiTheme="minorHAnsi"/>
        </w:rPr>
        <w:t>Mart</w:t>
      </w:r>
      <w:r w:rsidR="00D53B7F">
        <w:rPr>
          <w:rFonts w:asciiTheme="minorHAnsi" w:hAnsiTheme="minorHAnsi"/>
        </w:rPr>
        <w:t xml:space="preserve"> 2018</w:t>
      </w:r>
      <w:r w:rsidR="00D53B7F" w:rsidRPr="00662EBC">
        <w:rPr>
          <w:rFonts w:asciiTheme="minorHAnsi" w:hAnsiTheme="minorHAnsi"/>
        </w:rPr>
        <w:t xml:space="preserve"> –</w:t>
      </w:r>
      <w:r w:rsidR="00912BC4">
        <w:rPr>
          <w:rFonts w:asciiTheme="minorHAnsi" w:hAnsiTheme="minorHAnsi"/>
        </w:rPr>
        <w:t xml:space="preserve"> Mart</w:t>
      </w:r>
      <w:r w:rsidR="00D53B7F">
        <w:rPr>
          <w:rFonts w:asciiTheme="minorHAnsi" w:hAnsiTheme="minorHAnsi"/>
        </w:rPr>
        <w:t xml:space="preserve"> 2019</w:t>
      </w:r>
      <w:r w:rsidR="004A57F1" w:rsidRPr="005B326E">
        <w:rPr>
          <w:rFonts w:asciiTheme="minorHAnsi" w:hAnsiTheme="minorHAnsi"/>
        </w:rPr>
        <w:t>)</w:t>
      </w:r>
    </w:p>
    <w:p w14:paraId="377FBD2F" w14:textId="15E7F87B" w:rsidR="00CE395C" w:rsidRDefault="00BD5CE9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7F34538E" wp14:editId="4F00D272">
            <wp:extent cx="5759450" cy="2387422"/>
            <wp:effectExtent l="0" t="0" r="12700" b="13335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897B2F" w14:textId="77777777" w:rsidR="00FE22B6" w:rsidRDefault="00FE22B6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7477C03" w14:textId="77777777" w:rsidR="007D74FE" w:rsidRDefault="007D74FE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C6D52F0" w14:textId="77777777" w:rsidR="004946CD" w:rsidRDefault="004946CD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29137E7B" w14:textId="77777777" w:rsidR="003F680E" w:rsidRPr="003127E7" w:rsidRDefault="003F680E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FC4133">
        <w:rPr>
          <w:rFonts w:asciiTheme="minorHAnsi" w:hAnsiTheme="minorHAnsi"/>
          <w:b/>
        </w:rPr>
        <w:t>Tablo-3.</w:t>
      </w:r>
      <w:r w:rsidR="004A57F1" w:rsidRPr="00FC4133">
        <w:rPr>
          <w:rFonts w:asciiTheme="minorHAnsi" w:hAnsiTheme="minorHAnsi"/>
        </w:rPr>
        <w:t xml:space="preserve"> </w:t>
      </w:r>
      <w:r w:rsidR="0040215A" w:rsidRPr="00FC4133">
        <w:rPr>
          <w:rFonts w:asciiTheme="minorHAnsi" w:hAnsiTheme="minorHAnsi"/>
        </w:rPr>
        <w:t xml:space="preserve">İşlerin geçen yılın aynı dönemine göre durumu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F680E" w:rsidRPr="003127E7" w14:paraId="31816B7D" w14:textId="77777777" w:rsidTr="00BC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6BE7FE7C" w14:textId="77777777" w:rsidR="003F680E" w:rsidRPr="00847C02" w:rsidRDefault="003F680E" w:rsidP="00EF393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3E1AD80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26DE5D7C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3BB528D3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2FEC0B22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0D73E116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318EB24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4A5A2ADB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002ADDF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07920E5F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093E0A7D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2C251333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255E6625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Aralık</w:t>
            </w:r>
          </w:p>
        </w:tc>
      </w:tr>
      <w:tr w:rsidR="00912BC4" w:rsidRPr="003127E7" w14:paraId="65C6E056" w14:textId="77777777" w:rsidTr="00B8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D057047" w14:textId="075F91D3" w:rsidR="00912BC4" w:rsidRPr="00847C02" w:rsidRDefault="00912BC4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64B133C6" w14:textId="6C9C1483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-43,3</w:t>
            </w:r>
          </w:p>
        </w:tc>
        <w:tc>
          <w:tcPr>
            <w:tcW w:w="807" w:type="dxa"/>
            <w:noWrap/>
            <w:vAlign w:val="bottom"/>
          </w:tcPr>
          <w:p w14:paraId="7D1C26EA" w14:textId="396CA33D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-36,3</w:t>
            </w:r>
          </w:p>
        </w:tc>
        <w:tc>
          <w:tcPr>
            <w:tcW w:w="708" w:type="dxa"/>
            <w:noWrap/>
            <w:vAlign w:val="bottom"/>
          </w:tcPr>
          <w:p w14:paraId="3C0DE61B" w14:textId="1F01DFEC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-41,3</w:t>
            </w:r>
          </w:p>
        </w:tc>
        <w:tc>
          <w:tcPr>
            <w:tcW w:w="808" w:type="dxa"/>
            <w:noWrap/>
            <w:vAlign w:val="bottom"/>
          </w:tcPr>
          <w:p w14:paraId="7C416076" w14:textId="3B8AB200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-38,6</w:t>
            </w:r>
          </w:p>
        </w:tc>
        <w:tc>
          <w:tcPr>
            <w:tcW w:w="808" w:type="dxa"/>
            <w:noWrap/>
            <w:vAlign w:val="bottom"/>
          </w:tcPr>
          <w:p w14:paraId="731E9A15" w14:textId="4C37EB70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-39,4</w:t>
            </w:r>
          </w:p>
        </w:tc>
        <w:tc>
          <w:tcPr>
            <w:tcW w:w="974" w:type="dxa"/>
            <w:noWrap/>
            <w:vAlign w:val="bottom"/>
          </w:tcPr>
          <w:p w14:paraId="780A0459" w14:textId="51DB7841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-41,6</w:t>
            </w:r>
          </w:p>
        </w:tc>
        <w:tc>
          <w:tcPr>
            <w:tcW w:w="1063" w:type="dxa"/>
            <w:noWrap/>
            <w:vAlign w:val="bottom"/>
          </w:tcPr>
          <w:p w14:paraId="3355B9C0" w14:textId="2472069D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-38,5</w:t>
            </w:r>
          </w:p>
        </w:tc>
        <w:tc>
          <w:tcPr>
            <w:tcW w:w="1052" w:type="dxa"/>
            <w:noWrap/>
            <w:vAlign w:val="bottom"/>
          </w:tcPr>
          <w:p w14:paraId="7AC3D87B" w14:textId="1F3EAB3A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-36,6</w:t>
            </w:r>
          </w:p>
        </w:tc>
        <w:tc>
          <w:tcPr>
            <w:tcW w:w="730" w:type="dxa"/>
            <w:noWrap/>
            <w:vAlign w:val="bottom"/>
          </w:tcPr>
          <w:p w14:paraId="4654EFCD" w14:textId="0409774E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-39,8</w:t>
            </w:r>
          </w:p>
        </w:tc>
        <w:tc>
          <w:tcPr>
            <w:tcW w:w="730" w:type="dxa"/>
            <w:noWrap/>
            <w:vAlign w:val="bottom"/>
          </w:tcPr>
          <w:p w14:paraId="438074E6" w14:textId="047352AF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-38,4</w:t>
            </w:r>
          </w:p>
        </w:tc>
        <w:tc>
          <w:tcPr>
            <w:tcW w:w="852" w:type="dxa"/>
            <w:noWrap/>
            <w:vAlign w:val="bottom"/>
          </w:tcPr>
          <w:p w14:paraId="321164D6" w14:textId="10D4EF9F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-45,6</w:t>
            </w:r>
          </w:p>
        </w:tc>
        <w:tc>
          <w:tcPr>
            <w:tcW w:w="808" w:type="dxa"/>
            <w:noWrap/>
            <w:vAlign w:val="bottom"/>
          </w:tcPr>
          <w:p w14:paraId="605631F1" w14:textId="1F5B2F98" w:rsidR="00912BC4" w:rsidRDefault="00912BC4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-44,7</w:t>
            </w:r>
          </w:p>
        </w:tc>
      </w:tr>
      <w:tr w:rsidR="00912BC4" w:rsidRPr="003127E7" w14:paraId="154F7A24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199931C4" w14:textId="4604F3D2" w:rsidR="00912BC4" w:rsidRDefault="00912BC4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2516DC9C" w14:textId="3EEFDAA0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-37,6</w:t>
            </w:r>
          </w:p>
        </w:tc>
        <w:tc>
          <w:tcPr>
            <w:tcW w:w="807" w:type="dxa"/>
            <w:noWrap/>
            <w:vAlign w:val="bottom"/>
          </w:tcPr>
          <w:p w14:paraId="791A0D2F" w14:textId="13F79D18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-19,5</w:t>
            </w:r>
          </w:p>
        </w:tc>
        <w:tc>
          <w:tcPr>
            <w:tcW w:w="708" w:type="dxa"/>
            <w:noWrap/>
            <w:vAlign w:val="bottom"/>
          </w:tcPr>
          <w:p w14:paraId="7778ACF9" w14:textId="7C10E005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-31,1</w:t>
            </w:r>
          </w:p>
        </w:tc>
        <w:tc>
          <w:tcPr>
            <w:tcW w:w="808" w:type="dxa"/>
            <w:noWrap/>
            <w:vAlign w:val="bottom"/>
          </w:tcPr>
          <w:p w14:paraId="6B90B1AF" w14:textId="784EB002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-31,3</w:t>
            </w:r>
          </w:p>
        </w:tc>
        <w:tc>
          <w:tcPr>
            <w:tcW w:w="808" w:type="dxa"/>
            <w:noWrap/>
            <w:vAlign w:val="bottom"/>
          </w:tcPr>
          <w:p w14:paraId="28FD6FB3" w14:textId="4555F006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-31,7</w:t>
            </w:r>
          </w:p>
        </w:tc>
        <w:tc>
          <w:tcPr>
            <w:tcW w:w="974" w:type="dxa"/>
            <w:noWrap/>
            <w:vAlign w:val="bottom"/>
          </w:tcPr>
          <w:p w14:paraId="1DB2F9E0" w14:textId="69951FC0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-25,8</w:t>
            </w:r>
          </w:p>
        </w:tc>
        <w:tc>
          <w:tcPr>
            <w:tcW w:w="1063" w:type="dxa"/>
            <w:noWrap/>
            <w:vAlign w:val="bottom"/>
          </w:tcPr>
          <w:p w14:paraId="7628C3AA" w14:textId="468C8440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-30,5</w:t>
            </w:r>
          </w:p>
        </w:tc>
        <w:tc>
          <w:tcPr>
            <w:tcW w:w="1052" w:type="dxa"/>
            <w:noWrap/>
            <w:vAlign w:val="bottom"/>
          </w:tcPr>
          <w:p w14:paraId="14E740EE" w14:textId="656BAD86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-34,5</w:t>
            </w:r>
          </w:p>
        </w:tc>
        <w:tc>
          <w:tcPr>
            <w:tcW w:w="730" w:type="dxa"/>
            <w:noWrap/>
            <w:vAlign w:val="bottom"/>
          </w:tcPr>
          <w:p w14:paraId="06B29ACB" w14:textId="110A58D0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-43,5</w:t>
            </w:r>
          </w:p>
        </w:tc>
        <w:tc>
          <w:tcPr>
            <w:tcW w:w="730" w:type="dxa"/>
            <w:noWrap/>
            <w:vAlign w:val="bottom"/>
          </w:tcPr>
          <w:p w14:paraId="0CE9174B" w14:textId="2AF597DF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-54,3</w:t>
            </w:r>
          </w:p>
        </w:tc>
        <w:tc>
          <w:tcPr>
            <w:tcW w:w="852" w:type="dxa"/>
            <w:noWrap/>
            <w:vAlign w:val="bottom"/>
          </w:tcPr>
          <w:p w14:paraId="652F5EE7" w14:textId="0D79BED6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-59,0</w:t>
            </w:r>
          </w:p>
        </w:tc>
        <w:tc>
          <w:tcPr>
            <w:tcW w:w="808" w:type="dxa"/>
            <w:noWrap/>
            <w:vAlign w:val="bottom"/>
          </w:tcPr>
          <w:p w14:paraId="6558A8C5" w14:textId="5830AC7B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-33,5</w:t>
            </w:r>
          </w:p>
        </w:tc>
      </w:tr>
      <w:tr w:rsidR="00912BC4" w:rsidRPr="00F87E72" w14:paraId="2D99BDCE" w14:textId="77777777" w:rsidTr="00B8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250D7220" w14:textId="3F0D8C55" w:rsidR="00912BC4" w:rsidRDefault="00912BC4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0FDFEE33" w14:textId="1ACBA114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-54,1</w:t>
            </w:r>
          </w:p>
        </w:tc>
        <w:tc>
          <w:tcPr>
            <w:tcW w:w="807" w:type="dxa"/>
            <w:noWrap/>
            <w:vAlign w:val="bottom"/>
          </w:tcPr>
          <w:p w14:paraId="1CC1D353" w14:textId="465477AC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-51,4</w:t>
            </w:r>
          </w:p>
        </w:tc>
        <w:tc>
          <w:tcPr>
            <w:tcW w:w="708" w:type="dxa"/>
            <w:noWrap/>
            <w:vAlign w:val="bottom"/>
          </w:tcPr>
          <w:p w14:paraId="52D4E4DA" w14:textId="1363B5ED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-35,3</w:t>
            </w:r>
          </w:p>
        </w:tc>
        <w:tc>
          <w:tcPr>
            <w:tcW w:w="808" w:type="dxa"/>
            <w:noWrap/>
            <w:vAlign w:val="bottom"/>
          </w:tcPr>
          <w:p w14:paraId="4C5C66E5" w14:textId="64B9DDCD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bottom"/>
          </w:tcPr>
          <w:p w14:paraId="0FE44805" w14:textId="518B3695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43AB9FB7" w14:textId="03D65BC5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14:paraId="2A1AF64A" w14:textId="3DFF3D10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14:paraId="6767414F" w14:textId="3A67DFBE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7F415806" w14:textId="2CDD21D6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08DAE6B4" w14:textId="6EF7A0B5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14:paraId="50D13911" w14:textId="555D14E6" w:rsidR="00912BC4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14:paraId="05872B6E" w14:textId="77777777" w:rsidR="00912BC4" w:rsidRPr="00583AF6" w:rsidRDefault="00912BC4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7E134D11" w14:textId="77777777" w:rsidR="008866B1" w:rsidRDefault="008866B1" w:rsidP="008866B1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45807F16" w14:textId="30603E2E" w:rsidR="008866B1" w:rsidRPr="00721FD0" w:rsidRDefault="00554BE1" w:rsidP="000974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721FD0">
        <w:rPr>
          <w:rFonts w:asciiTheme="minorHAnsi" w:hAnsiTheme="minorHAnsi" w:cs="Arial"/>
          <w:color w:val="0070C0"/>
          <w:sz w:val="28"/>
        </w:rPr>
        <w:t xml:space="preserve">Perakende güveni </w:t>
      </w:r>
      <w:r w:rsidR="008839A6" w:rsidRPr="00721FD0">
        <w:rPr>
          <w:rFonts w:asciiTheme="minorHAnsi" w:hAnsiTheme="minorHAnsi" w:cs="Arial"/>
          <w:color w:val="0070C0"/>
          <w:sz w:val="28"/>
        </w:rPr>
        <w:t>en fazla a</w:t>
      </w:r>
      <w:r w:rsidR="0083036D" w:rsidRPr="00721FD0">
        <w:rPr>
          <w:rFonts w:asciiTheme="minorHAnsi" w:hAnsiTheme="minorHAnsi" w:cs="Arial"/>
          <w:color w:val="0070C0"/>
          <w:sz w:val="28"/>
        </w:rPr>
        <w:t>rtan</w:t>
      </w:r>
      <w:r w:rsidR="004665DB" w:rsidRPr="00721FD0">
        <w:rPr>
          <w:rFonts w:asciiTheme="minorHAnsi" w:hAnsiTheme="minorHAnsi" w:cs="Arial"/>
          <w:color w:val="0070C0"/>
          <w:sz w:val="28"/>
        </w:rPr>
        <w:t xml:space="preserve"> </w:t>
      </w:r>
      <w:r w:rsidR="00807899" w:rsidRPr="00721FD0">
        <w:rPr>
          <w:rFonts w:asciiTheme="minorHAnsi" w:hAnsiTheme="minorHAnsi" w:cs="Arial"/>
          <w:color w:val="0070C0"/>
          <w:sz w:val="28"/>
        </w:rPr>
        <w:t>“</w:t>
      </w:r>
      <w:r w:rsidR="0083036D" w:rsidRPr="00721FD0">
        <w:rPr>
          <w:rFonts w:asciiTheme="minorHAnsi" w:hAnsiTheme="minorHAnsi" w:cs="Arial"/>
          <w:color w:val="0070C0"/>
          <w:sz w:val="28"/>
        </w:rPr>
        <w:t>birden fazla türde ürün satan bakkal, market ve büyük mağazalar</w:t>
      </w:r>
      <w:r w:rsidR="002C027E" w:rsidRPr="00721FD0">
        <w:rPr>
          <w:rFonts w:asciiTheme="minorHAnsi" w:hAnsiTheme="minorHAnsi" w:cs="Arial"/>
          <w:color w:val="0070C0"/>
          <w:sz w:val="28"/>
        </w:rPr>
        <w:t>”</w:t>
      </w:r>
      <w:r w:rsidR="00504538" w:rsidRPr="00721FD0">
        <w:rPr>
          <w:rFonts w:asciiTheme="minorHAnsi" w:hAnsiTheme="minorHAnsi" w:cs="Arial"/>
          <w:color w:val="0070C0"/>
          <w:sz w:val="28"/>
        </w:rPr>
        <w:t xml:space="preserve"> </w:t>
      </w:r>
      <w:r w:rsidR="00464A3B">
        <w:rPr>
          <w:rFonts w:asciiTheme="minorHAnsi" w:hAnsiTheme="minorHAnsi" w:cs="Arial"/>
          <w:color w:val="0070C0"/>
          <w:sz w:val="28"/>
        </w:rPr>
        <w:t xml:space="preserve">sektörü </w:t>
      </w:r>
      <w:r w:rsidR="004665DB" w:rsidRPr="00721FD0">
        <w:rPr>
          <w:rFonts w:asciiTheme="minorHAnsi" w:hAnsiTheme="minorHAnsi" w:cs="Arial"/>
          <w:color w:val="0070C0"/>
          <w:sz w:val="28"/>
        </w:rPr>
        <w:t>oldu</w:t>
      </w:r>
    </w:p>
    <w:p w14:paraId="0854F040" w14:textId="0ED47D97" w:rsidR="00EA7EE5" w:rsidRPr="006413B9" w:rsidRDefault="008A3625" w:rsidP="004746A6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721FD0">
        <w:rPr>
          <w:rFonts w:asciiTheme="minorHAnsi" w:hAnsiTheme="minorHAnsi" w:cs="Arial"/>
          <w:b w:val="0"/>
          <w:color w:val="0070C0"/>
          <w:sz w:val="24"/>
        </w:rPr>
        <w:t xml:space="preserve">Perakende güvenine alt sektörler itibarıyla bakıldığında 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>Mart</w:t>
      </w:r>
      <w:r w:rsidR="00661E4A" w:rsidRPr="00721FD0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Pr="00721FD0">
        <w:rPr>
          <w:rFonts w:asciiTheme="minorHAnsi" w:hAnsiTheme="minorHAnsi" w:cs="Arial"/>
          <w:b w:val="0"/>
          <w:color w:val="0070C0"/>
          <w:sz w:val="24"/>
        </w:rPr>
        <w:t>,</w:t>
      </w:r>
      <w:r w:rsidR="004C789C" w:rsidRPr="00721FD0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</w:t>
      </w:r>
      <w:r w:rsidR="001F16FA" w:rsidRPr="00721FD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 xml:space="preserve">en fazla artan “birden fazla türde ürün satan bakkal, market ve büyük mağazalar” </w:t>
      </w:r>
      <w:r w:rsidR="00464A3B">
        <w:rPr>
          <w:rFonts w:asciiTheme="minorHAnsi" w:hAnsiTheme="minorHAnsi" w:cs="Arial"/>
          <w:b w:val="0"/>
          <w:color w:val="0070C0"/>
          <w:sz w:val="24"/>
        </w:rPr>
        <w:t xml:space="preserve">sektörü 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>oldu</w:t>
      </w:r>
      <w:r w:rsidR="004746A6" w:rsidRPr="00721FD0">
        <w:rPr>
          <w:rFonts w:asciiTheme="minorHAnsi" w:hAnsiTheme="minorHAnsi" w:cs="Arial"/>
          <w:b w:val="0"/>
          <w:color w:val="0070C0"/>
          <w:sz w:val="24"/>
        </w:rPr>
        <w:t>.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 xml:space="preserve"> Bu sektörü, “tekstil, hazır giyim ve ayakkabı”, “elektrikli ev aletleri, radyo ve </w:t>
      </w:r>
      <w:proofErr w:type="spellStart"/>
      <w:r w:rsidR="0083036D" w:rsidRPr="00721FD0">
        <w:rPr>
          <w:rFonts w:asciiTheme="minorHAnsi" w:hAnsiTheme="minorHAnsi" w:cs="Arial"/>
          <w:b w:val="0"/>
          <w:color w:val="0070C0"/>
          <w:sz w:val="24"/>
        </w:rPr>
        <w:t>televizyonlar”ve</w:t>
      </w:r>
      <w:proofErr w:type="spellEnd"/>
      <w:r w:rsidR="0083036D" w:rsidRPr="00721FD0">
        <w:rPr>
          <w:rFonts w:asciiTheme="minorHAnsi" w:hAnsiTheme="minorHAnsi" w:cs="Arial"/>
          <w:b w:val="0"/>
          <w:color w:val="0070C0"/>
          <w:sz w:val="24"/>
        </w:rPr>
        <w:t xml:space="preserve"> “diğer (akaryakıt istasyonu, eczane, parfümeri, nalbur, </w:t>
      </w:r>
      <w:proofErr w:type="spellStart"/>
      <w:r w:rsidR="0083036D" w:rsidRPr="00721FD0">
        <w:rPr>
          <w:rFonts w:asciiTheme="minorHAnsi" w:hAnsiTheme="minorHAnsi" w:cs="Arial"/>
          <w:b w:val="0"/>
          <w:color w:val="0070C0"/>
          <w:sz w:val="24"/>
        </w:rPr>
        <w:t>züccaciye</w:t>
      </w:r>
      <w:proofErr w:type="spellEnd"/>
      <w:r w:rsidR="0083036D" w:rsidRPr="00721FD0">
        <w:rPr>
          <w:rFonts w:asciiTheme="minorHAnsi" w:hAnsiTheme="minorHAnsi" w:cs="Arial"/>
          <w:b w:val="0"/>
          <w:color w:val="0070C0"/>
          <w:sz w:val="24"/>
        </w:rPr>
        <w:t xml:space="preserve">, kırtasiye, vb.)” sektörleri takip etti. </w:t>
      </w:r>
      <w:r w:rsidR="004746A6" w:rsidRPr="00721FD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64A3B">
        <w:rPr>
          <w:rFonts w:asciiTheme="minorHAnsi" w:hAnsiTheme="minorHAnsi" w:cs="Arial"/>
          <w:b w:val="0"/>
          <w:color w:val="0070C0"/>
          <w:sz w:val="24"/>
        </w:rPr>
        <w:t>Artış gösteren b</w:t>
      </w:r>
      <w:r w:rsidR="00721FD0" w:rsidRPr="00721FD0">
        <w:rPr>
          <w:rFonts w:asciiTheme="minorHAnsi" w:hAnsiTheme="minorHAnsi" w:cs="Arial"/>
          <w:b w:val="0"/>
          <w:color w:val="0070C0"/>
          <w:sz w:val="24"/>
        </w:rPr>
        <w:t xml:space="preserve">u sektörler </w:t>
      </w:r>
      <w:proofErr w:type="spellStart"/>
      <w:r w:rsidR="00721FD0" w:rsidRPr="00721FD0">
        <w:rPr>
          <w:rFonts w:asciiTheme="minorHAnsi" w:hAnsiTheme="minorHAnsi" w:cs="Arial"/>
          <w:b w:val="0"/>
          <w:color w:val="0070C0"/>
          <w:sz w:val="24"/>
        </w:rPr>
        <w:t>ortalamının</w:t>
      </w:r>
      <w:proofErr w:type="spellEnd"/>
      <w:r w:rsidR="00721FD0" w:rsidRPr="00721FD0">
        <w:rPr>
          <w:rFonts w:asciiTheme="minorHAnsi" w:hAnsiTheme="minorHAnsi" w:cs="Arial"/>
          <w:b w:val="0"/>
          <w:color w:val="0070C0"/>
          <w:sz w:val="24"/>
        </w:rPr>
        <w:t xml:space="preserve"> üzerinde değer alırken, “m</w:t>
      </w:r>
      <w:r w:rsidR="004746A6" w:rsidRPr="00721FD0">
        <w:rPr>
          <w:rFonts w:asciiTheme="minorHAnsi" w:hAnsiTheme="minorHAnsi" w:cs="Arial"/>
          <w:b w:val="0"/>
          <w:color w:val="0070C0"/>
          <w:sz w:val="24"/>
        </w:rPr>
        <w:t xml:space="preserve">otorlu taşıtlar”, “mobilya, aydınlatma </w:t>
      </w:r>
      <w:proofErr w:type="gramStart"/>
      <w:r w:rsidR="004746A6" w:rsidRPr="00721FD0">
        <w:rPr>
          <w:rFonts w:asciiTheme="minorHAnsi" w:hAnsiTheme="minorHAnsi" w:cs="Arial"/>
          <w:b w:val="0"/>
          <w:color w:val="0070C0"/>
          <w:sz w:val="24"/>
        </w:rPr>
        <w:t>ekipmanı</w:t>
      </w:r>
      <w:proofErr w:type="gramEnd"/>
      <w:r w:rsidR="004746A6" w:rsidRPr="00721FD0">
        <w:rPr>
          <w:rFonts w:asciiTheme="minorHAnsi" w:hAnsiTheme="minorHAnsi" w:cs="Arial"/>
          <w:b w:val="0"/>
          <w:color w:val="0070C0"/>
          <w:sz w:val="24"/>
        </w:rPr>
        <w:t xml:space="preserve"> ve ev içi kullanım ürünleri” ve “yiyecek, içecek ve tütün ürünleri” sektörleri ortalamanın altında değer aldı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E241B9" w:rsidRPr="00721FD0">
        <w:rPr>
          <w:rFonts w:asciiTheme="minorHAnsi" w:hAnsiTheme="minorHAnsi" w:cs="Arial"/>
          <w:b w:val="0"/>
          <w:color w:val="0070C0"/>
          <w:sz w:val="24"/>
        </w:rPr>
        <w:t>“</w:t>
      </w:r>
      <w:r w:rsidR="004746A6" w:rsidRPr="00721FD0">
        <w:rPr>
          <w:rFonts w:asciiTheme="minorHAnsi" w:hAnsiTheme="minorHAnsi" w:cs="Arial"/>
          <w:b w:val="0"/>
          <w:color w:val="0070C0"/>
          <w:sz w:val="24"/>
        </w:rPr>
        <w:t>Yiyecek, içecek ve tütün ürünleri”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 sektörü perakende güveninde en fazla </w:t>
      </w:r>
      <w:r w:rsidR="00FE17C0" w:rsidRPr="00721FD0">
        <w:rPr>
          <w:rFonts w:asciiTheme="minorHAnsi" w:hAnsiTheme="minorHAnsi" w:cs="Arial"/>
          <w:b w:val="0"/>
          <w:color w:val="0070C0"/>
          <w:sz w:val="24"/>
        </w:rPr>
        <w:t>a</w:t>
      </w:r>
      <w:r w:rsidR="00E241B9" w:rsidRPr="00721FD0">
        <w:rPr>
          <w:rFonts w:asciiTheme="minorHAnsi" w:hAnsiTheme="minorHAnsi" w:cs="Arial"/>
          <w:b w:val="0"/>
          <w:color w:val="0070C0"/>
          <w:sz w:val="24"/>
        </w:rPr>
        <w:t>zalış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E17C0" w:rsidRPr="00721FD0">
        <w:rPr>
          <w:rFonts w:asciiTheme="minorHAnsi" w:hAnsiTheme="minorHAnsi" w:cs="Arial"/>
          <w:b w:val="0"/>
          <w:color w:val="0070C0"/>
          <w:sz w:val="24"/>
        </w:rPr>
        <w:t>gösteren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 sektör oldu.</w:t>
      </w:r>
      <w:r w:rsidR="004F4C20" w:rsidRPr="004F4C20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5C9C302A" w14:textId="6D32C6EE" w:rsidR="00734F3A" w:rsidRDefault="00963B01" w:rsidP="00661E4A">
      <w:pPr>
        <w:tabs>
          <w:tab w:val="left" w:pos="8258"/>
        </w:tabs>
        <w:spacing w:before="240" w:after="0"/>
        <w:jc w:val="both"/>
        <w:rPr>
          <w:rFonts w:asciiTheme="minorHAnsi" w:hAnsiTheme="minorHAnsi"/>
        </w:rPr>
      </w:pPr>
      <w:r w:rsidRPr="007F7A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4</w:t>
      </w:r>
      <w:r w:rsidRPr="007F7A5F">
        <w:rPr>
          <w:rFonts w:asciiTheme="minorHAnsi" w:hAnsiTheme="minorHAnsi"/>
          <w:b/>
        </w:rPr>
        <w:t>.</w:t>
      </w:r>
      <w:r w:rsidRPr="007F7A5F">
        <w:rPr>
          <w:rFonts w:asciiTheme="minorHAnsi" w:hAnsiTheme="minorHAnsi"/>
        </w:rPr>
        <w:t xml:space="preserve"> </w:t>
      </w:r>
      <w:r w:rsidR="009869E1" w:rsidRPr="007F7A5F">
        <w:rPr>
          <w:rFonts w:asciiTheme="minorHAnsi" w:hAnsiTheme="minorHAnsi"/>
        </w:rPr>
        <w:t xml:space="preserve">Alt sektör bazında </w:t>
      </w:r>
      <w:proofErr w:type="spellStart"/>
      <w:r w:rsidRPr="007F7A5F">
        <w:rPr>
          <w:rFonts w:asciiTheme="minorHAnsi" w:hAnsiTheme="minorHAnsi"/>
        </w:rPr>
        <w:t>TEPE’nin</w:t>
      </w:r>
      <w:proofErr w:type="spellEnd"/>
      <w:r w:rsidRPr="007F7A5F">
        <w:rPr>
          <w:rFonts w:asciiTheme="minorHAnsi" w:hAnsiTheme="minorHAnsi"/>
        </w:rPr>
        <w:t xml:space="preserve"> </w:t>
      </w:r>
      <w:r w:rsidR="00E001EC">
        <w:rPr>
          <w:rFonts w:asciiTheme="minorHAnsi" w:hAnsiTheme="minorHAnsi"/>
        </w:rPr>
        <w:t>Mart</w:t>
      </w:r>
      <w:r w:rsidR="006B08AD">
        <w:rPr>
          <w:rFonts w:asciiTheme="minorHAnsi" w:hAnsiTheme="minorHAnsi"/>
        </w:rPr>
        <w:t xml:space="preserve"> </w:t>
      </w:r>
      <w:r w:rsidR="00661E4A">
        <w:rPr>
          <w:rFonts w:asciiTheme="minorHAnsi" w:hAnsiTheme="minorHAnsi"/>
        </w:rPr>
        <w:t>2019’da</w:t>
      </w:r>
      <w:r w:rsidRPr="007F7A5F">
        <w:rPr>
          <w:rFonts w:asciiTheme="minorHAnsi" w:hAnsiTheme="minorHAnsi"/>
        </w:rPr>
        <w:t xml:space="preserve"> </w:t>
      </w:r>
      <w:r w:rsidR="00B364DA">
        <w:rPr>
          <w:rFonts w:asciiTheme="minorHAnsi" w:hAnsiTheme="minorHAnsi"/>
        </w:rPr>
        <w:t>geçen</w:t>
      </w:r>
      <w:r w:rsidRPr="007F7A5F">
        <w:rPr>
          <w:rFonts w:asciiTheme="minorHAnsi" w:hAnsiTheme="minorHAnsi"/>
        </w:rPr>
        <w:t xml:space="preserve"> yılın ayn</w:t>
      </w:r>
      <w:r w:rsidR="006943C3">
        <w:rPr>
          <w:rFonts w:asciiTheme="minorHAnsi" w:hAnsiTheme="minorHAnsi"/>
        </w:rPr>
        <w:t>ı dönemine göre değişimi (puan)</w:t>
      </w:r>
    </w:p>
    <w:p w14:paraId="5F169ED6" w14:textId="6704D2BC" w:rsidR="00DE03DF" w:rsidRDefault="00912BC4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3F15656A" wp14:editId="172D12D7">
            <wp:extent cx="5759450" cy="3082402"/>
            <wp:effectExtent l="0" t="0" r="12700" b="2286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D862F8" w14:textId="77777777" w:rsidR="009A1DC3" w:rsidRDefault="009A1DC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55974CC" w14:textId="77777777" w:rsidR="00691154" w:rsidRDefault="00691154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6F89087" w14:textId="77777777" w:rsidR="00554BE1" w:rsidRDefault="00554BE1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33E29280" w14:textId="77777777" w:rsidR="008A2EB3" w:rsidRDefault="008A2EB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61B018F" w14:textId="77777777" w:rsidR="00C13459" w:rsidRDefault="00C13459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84DC164" w14:textId="77777777" w:rsidR="007D3134" w:rsidRDefault="007D3134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64E22392" w14:textId="25C4D540" w:rsidR="003F34EF" w:rsidRPr="002D6457" w:rsidRDefault="00187026" w:rsidP="00387773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2D6457">
        <w:rPr>
          <w:rFonts w:asciiTheme="minorHAnsi" w:hAnsiTheme="minorHAnsi" w:cs="Arial"/>
          <w:color w:val="0070C0"/>
          <w:sz w:val="28"/>
        </w:rPr>
        <w:t xml:space="preserve">Perakendecilerin </w:t>
      </w:r>
      <w:r w:rsidR="002D6457" w:rsidRPr="002D6457">
        <w:rPr>
          <w:rFonts w:asciiTheme="minorHAnsi" w:hAnsiTheme="minorHAnsi" w:cs="Arial"/>
          <w:color w:val="0070C0"/>
          <w:sz w:val="28"/>
        </w:rPr>
        <w:t>beklentileri geçen aya kıyasla arttı</w:t>
      </w:r>
    </w:p>
    <w:p w14:paraId="60D078D6" w14:textId="38C3AF49" w:rsidR="004D6337" w:rsidRDefault="00201819" w:rsidP="00852A40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2D6457">
        <w:rPr>
          <w:rFonts w:asciiTheme="minorHAnsi" w:hAnsiTheme="minorHAnsi" w:cs="Arial"/>
          <w:b w:val="0"/>
          <w:color w:val="0070C0"/>
          <w:sz w:val="24"/>
        </w:rPr>
        <w:t>TEPE anketine soru bazında bakıldığında</w:t>
      </w:r>
      <w:r w:rsidR="005C7F1B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>Mart</w:t>
      </w:r>
      <w:r w:rsidR="00AF1F84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>2019’da</w:t>
      </w:r>
      <w:r w:rsidR="00DE1B8B" w:rsidRPr="002D6457">
        <w:rPr>
          <w:rFonts w:asciiTheme="minorHAnsi" w:hAnsiTheme="minorHAnsi" w:cs="Arial"/>
          <w:b w:val="0"/>
          <w:color w:val="0070C0"/>
          <w:sz w:val="24"/>
        </w:rPr>
        <w:t>,</w:t>
      </w:r>
      <w:r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>“geçtiğimiz 3 ayda işlerin durumu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”, 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 xml:space="preserve"> “önümüzdeki 3 ayda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tedarikçilerden sipariş, 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>satış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>, istihdam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640C2C" w:rsidRPr="002D6457">
        <w:rPr>
          <w:rFonts w:asciiTheme="minorHAnsi" w:hAnsiTheme="minorHAnsi" w:cs="Arial"/>
          <w:b w:val="0"/>
          <w:color w:val="0070C0"/>
          <w:sz w:val="24"/>
        </w:rPr>
        <w:t>satış fiyatı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 beklentileri” ve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“işlerin geçen yıla göre durumu” 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>göstergeleri Mart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 2018’e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>göre azalırken,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>Şubat</w:t>
      </w:r>
      <w:r w:rsidR="00640C2C" w:rsidRPr="002D6457">
        <w:rPr>
          <w:rFonts w:asciiTheme="minorHAnsi" w:hAnsiTheme="minorHAnsi" w:cs="Arial"/>
          <w:b w:val="0"/>
          <w:color w:val="0070C0"/>
          <w:sz w:val="24"/>
        </w:rPr>
        <w:t xml:space="preserve"> 2019’a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 göre artış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 xml:space="preserve"> gösterdi.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>“G</w:t>
      </w:r>
      <w:r w:rsidR="00852A40" w:rsidRPr="002D6457">
        <w:rPr>
          <w:rFonts w:asciiTheme="minorHAnsi" w:hAnsiTheme="minorHAnsi" w:cs="Arial"/>
          <w:b w:val="0"/>
          <w:color w:val="0070C0"/>
          <w:sz w:val="24"/>
        </w:rPr>
        <w:t>elecek yıl mağaza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 sayısı beklentisi” göstergesi ise hem Mart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 2018’e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>hem de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Şubat </w:t>
      </w:r>
      <w:r w:rsidR="00852A40" w:rsidRPr="002D6457">
        <w:rPr>
          <w:rFonts w:asciiTheme="minorHAnsi" w:hAnsiTheme="minorHAnsi" w:cs="Arial"/>
          <w:b w:val="0"/>
          <w:color w:val="0070C0"/>
          <w:sz w:val="24"/>
        </w:rPr>
        <w:t>2019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>’</w:t>
      </w:r>
      <w:r w:rsidR="00852A40" w:rsidRPr="002D6457">
        <w:rPr>
          <w:rFonts w:asciiTheme="minorHAnsi" w:hAnsiTheme="minorHAnsi" w:cs="Arial"/>
          <w:b w:val="0"/>
          <w:color w:val="0070C0"/>
          <w:sz w:val="24"/>
        </w:rPr>
        <w:t>a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göre </w:t>
      </w:r>
      <w:r w:rsidR="00852A40" w:rsidRPr="002D6457">
        <w:rPr>
          <w:rFonts w:asciiTheme="minorHAnsi" w:hAnsiTheme="minorHAnsi" w:cs="Arial"/>
          <w:b w:val="0"/>
          <w:color w:val="0070C0"/>
          <w:sz w:val="24"/>
        </w:rPr>
        <w:t>arttı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4480A26D" w14:textId="3129A823" w:rsidR="00963B01" w:rsidRPr="003127E7" w:rsidRDefault="003B2E6B" w:rsidP="003B2E6B">
      <w:pPr>
        <w:tabs>
          <w:tab w:val="left" w:pos="5055"/>
        </w:tabs>
        <w:spacing w:after="0" w:line="240" w:lineRule="auto"/>
        <w:jc w:val="both"/>
        <w:rPr>
          <w:rFonts w:asciiTheme="minorHAnsi" w:hAnsiTheme="minorHAnsi"/>
        </w:rPr>
      </w:pPr>
      <w:r>
        <w:tab/>
      </w:r>
      <w:r w:rsidR="00F36C22">
        <w:br/>
      </w:r>
      <w:r w:rsidR="00963B01" w:rsidRPr="003127E7">
        <w:rPr>
          <w:rFonts w:asciiTheme="minorHAnsi" w:hAnsiTheme="minorHAnsi"/>
          <w:b/>
        </w:rPr>
        <w:t>Tablo-</w:t>
      </w:r>
      <w:r w:rsidR="00A52D51">
        <w:rPr>
          <w:rFonts w:asciiTheme="minorHAnsi" w:hAnsiTheme="minorHAnsi"/>
          <w:b/>
        </w:rPr>
        <w:t>4</w:t>
      </w:r>
      <w:r w:rsidR="00963B01" w:rsidRPr="003127E7">
        <w:rPr>
          <w:rFonts w:asciiTheme="minorHAnsi" w:hAnsiTheme="minorHAnsi"/>
          <w:b/>
        </w:rPr>
        <w:t>.</w:t>
      </w:r>
      <w:r w:rsidR="00963B01" w:rsidRPr="003127E7">
        <w:rPr>
          <w:rFonts w:asciiTheme="minorHAnsi" w:hAnsiTheme="minorHAnsi"/>
        </w:rPr>
        <w:t xml:space="preserve"> TEPE soru bazında detaylı sonuçlar</w:t>
      </w:r>
      <w:r w:rsidR="00722E05">
        <w:rPr>
          <w:rFonts w:asciiTheme="minorHAnsi" w:hAnsiTheme="minorHAnsi"/>
        </w:rPr>
        <w:t xml:space="preserve"> </w:t>
      </w:r>
      <w:r w:rsidR="009869E1">
        <w:rPr>
          <w:rFonts w:asciiTheme="minorHAnsi" w:hAnsiTheme="minorHAnsi"/>
        </w:rPr>
        <w:t>(puan</w:t>
      </w:r>
      <w:r w:rsidR="00722E05" w:rsidRPr="003127E7">
        <w:rPr>
          <w:rFonts w:asciiTheme="minorHAnsi" w:hAnsiTheme="minorHAnsi"/>
        </w:rPr>
        <w:t xml:space="preserve">) </w:t>
      </w:r>
    </w:p>
    <w:tbl>
      <w:tblPr>
        <w:tblW w:w="5464" w:type="pct"/>
        <w:tblInd w:w="-4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3212"/>
        <w:gridCol w:w="1135"/>
        <w:gridCol w:w="990"/>
        <w:gridCol w:w="1135"/>
        <w:gridCol w:w="1559"/>
        <w:gridCol w:w="2117"/>
      </w:tblGrid>
      <w:tr w:rsidR="00F31BC3" w:rsidRPr="00197B4F" w14:paraId="2A14A25A" w14:textId="77777777" w:rsidTr="00AC52FF">
        <w:tc>
          <w:tcPr>
            <w:tcW w:w="158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noWrap/>
            <w:vAlign w:val="center"/>
          </w:tcPr>
          <w:p w14:paraId="15E406BE" w14:textId="77777777" w:rsidR="00963B01" w:rsidRPr="00F31BC3" w:rsidRDefault="00963B01" w:rsidP="00197B4F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b/>
                <w:szCs w:val="20"/>
              </w:rPr>
              <w:t>Sorular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67E36403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1980C1C0" w14:textId="1C58B4DA" w:rsidR="00963B01" w:rsidRPr="00197B4F" w:rsidRDefault="003B2E6B" w:rsidP="004A74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03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7B95A37C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36ADC9DA" w14:textId="4A6ADA45" w:rsidR="00963B01" w:rsidRPr="00197B4F" w:rsidRDefault="003B2E6B" w:rsidP="00322BD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640C2C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4258923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6F0ACE7E" w14:textId="48C92415" w:rsidR="00963B01" w:rsidRPr="00197B4F" w:rsidRDefault="003B2E6B" w:rsidP="00C538A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03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CA09C41" w14:textId="4418CFE3" w:rsidR="00963B01" w:rsidRPr="00197B4F" w:rsidRDefault="00F85EA3" w:rsidP="006B7970">
            <w:pPr>
              <w:spacing w:after="0" w:line="240" w:lineRule="auto"/>
              <w:ind w:left="32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aya göre değişim 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0</w:t>
            </w:r>
            <w:r w:rsidR="003B2E6B">
              <w:rPr>
                <w:rFonts w:asciiTheme="minorHAnsi" w:hAnsiTheme="minorHAnsi" w:cs="Arial"/>
                <w:b/>
                <w:szCs w:val="20"/>
              </w:rPr>
              <w:t>3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897336C" w14:textId="77777777" w:rsidR="00F51037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</w:t>
            </w:r>
            <w:r w:rsidR="00F51037" w:rsidRPr="00197B4F">
              <w:rPr>
                <w:rFonts w:asciiTheme="minorHAnsi" w:hAnsiTheme="minorHAnsi" w:cs="Arial"/>
                <w:b/>
                <w:szCs w:val="20"/>
              </w:rPr>
              <w:t>yılın aynı ayına göre değişim</w:t>
            </w:r>
          </w:p>
          <w:p w14:paraId="2B9C667D" w14:textId="73C361E7" w:rsidR="00963B01" w:rsidRPr="00197B4F" w:rsidRDefault="003B2E6B" w:rsidP="003E1E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03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</w:tr>
      <w:tr w:rsidR="003B2E6B" w:rsidRPr="003127E7" w14:paraId="1133699E" w14:textId="77777777" w:rsidTr="00AC52FF">
        <w:trPr>
          <w:trHeight w:val="49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4A52179" w14:textId="77777777" w:rsidR="003B2E6B" w:rsidRPr="00F31BC3" w:rsidRDefault="003B2E6B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Geçtiğimiz üç ayda işlerinizin gelişimi ne yönde oldu?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E02036F" w14:textId="5D6536A6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-44,1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2E4AA97E" w14:textId="68BB34FB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-56,2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01551D78" w14:textId="3B7D2C87" w:rsidR="003B2E6B" w:rsidRPr="003B2E6B" w:rsidRDefault="003B2E6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B2E6B">
              <w:rPr>
                <w:rFonts w:cs="Calibri"/>
                <w:b/>
                <w:color w:val="000000"/>
              </w:rPr>
              <w:t>-48</w:t>
            </w:r>
            <w:r>
              <w:rPr>
                <w:rFonts w:cs="Calibri"/>
                <w:b/>
                <w:color w:val="000000"/>
              </w:rPr>
              <w:t>,</w:t>
            </w:r>
            <w:r w:rsidRPr="003B2E6B">
              <w:rPr>
                <w:rFonts w:cs="Calibri"/>
                <w:b/>
                <w:color w:val="000000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9583E24" w14:textId="2729B6D9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</w:t>
            </w:r>
            <w:r w:rsidR="002D6457">
              <w:rPr>
                <w:rFonts w:cs="Calibri"/>
                <w:color w:val="000000"/>
              </w:rPr>
              <w:t>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954B1BE" w14:textId="6E8CD090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-3,9</w:t>
            </w:r>
          </w:p>
        </w:tc>
      </w:tr>
      <w:tr w:rsidR="003B2E6B" w:rsidRPr="003127E7" w14:paraId="434D4894" w14:textId="77777777" w:rsidTr="00AC52FF">
        <w:trPr>
          <w:trHeight w:val="66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C679096" w14:textId="77777777" w:rsidR="003B2E6B" w:rsidRPr="00F31BC3" w:rsidRDefault="003B2E6B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 xml:space="preserve">Mevcut stok düzeyiniz hakkında ne düşünüyorsunuz? </w:t>
            </w:r>
            <w:r w:rsidRPr="00F31BC3">
              <w:rPr>
                <w:rStyle w:val="DipnotBavurusu"/>
                <w:rFonts w:asciiTheme="minorHAnsi" w:hAnsiTheme="minorHAnsi" w:cs="Arial"/>
                <w:b/>
                <w:szCs w:val="20"/>
              </w:rPr>
              <w:footnoteReference w:id="2"/>
            </w:r>
          </w:p>
        </w:tc>
        <w:tc>
          <w:tcPr>
            <w:tcW w:w="559" w:type="pct"/>
            <w:vAlign w:val="bottom"/>
          </w:tcPr>
          <w:p w14:paraId="2C22C18E" w14:textId="0B6E6634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11,6</w:t>
            </w:r>
          </w:p>
        </w:tc>
        <w:tc>
          <w:tcPr>
            <w:tcW w:w="488" w:type="pct"/>
            <w:vAlign w:val="bottom"/>
          </w:tcPr>
          <w:p w14:paraId="4C683030" w14:textId="10E3A7D5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18,2</w:t>
            </w:r>
          </w:p>
        </w:tc>
        <w:tc>
          <w:tcPr>
            <w:tcW w:w="559" w:type="pct"/>
            <w:vAlign w:val="bottom"/>
          </w:tcPr>
          <w:p w14:paraId="540D85D7" w14:textId="09B4B327" w:rsidR="003B2E6B" w:rsidRPr="003B2E6B" w:rsidRDefault="003B2E6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B2E6B">
              <w:rPr>
                <w:rFonts w:cs="Calibri"/>
                <w:b/>
                <w:color w:val="000000"/>
              </w:rPr>
              <w:t>14</w:t>
            </w:r>
            <w:r>
              <w:rPr>
                <w:rFonts w:cs="Calibri"/>
                <w:b/>
                <w:color w:val="000000"/>
              </w:rPr>
              <w:t>,</w:t>
            </w:r>
            <w:r w:rsidRPr="003B2E6B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68" w:type="pct"/>
            <w:vAlign w:val="bottom"/>
          </w:tcPr>
          <w:p w14:paraId="25D4723B" w14:textId="484BD5EE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-4,0</w:t>
            </w:r>
          </w:p>
        </w:tc>
        <w:tc>
          <w:tcPr>
            <w:tcW w:w="1043" w:type="pct"/>
            <w:vAlign w:val="bottom"/>
          </w:tcPr>
          <w:p w14:paraId="622F1534" w14:textId="5838A25F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</w:t>
            </w:r>
          </w:p>
        </w:tc>
      </w:tr>
      <w:tr w:rsidR="003B2E6B" w:rsidRPr="003127E7" w14:paraId="2C9F45D3" w14:textId="77777777" w:rsidTr="00AC52FF">
        <w:trPr>
          <w:trHeight w:val="997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6E623B2" w14:textId="77777777" w:rsidR="003B2E6B" w:rsidRPr="00F31BC3" w:rsidRDefault="003B2E6B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Tedarikçilerden siparişlerinizin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45F4138B" w14:textId="6B7A3C09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F9E97F5" w14:textId="7620E114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-26,4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42387163" w14:textId="35A4AE88" w:rsidR="003B2E6B" w:rsidRPr="003B2E6B" w:rsidRDefault="003B2E6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B2E6B">
              <w:rPr>
                <w:rFonts w:cs="Calibri"/>
                <w:b/>
                <w:color w:val="000000"/>
              </w:rPr>
              <w:t>-15</w:t>
            </w:r>
            <w:r>
              <w:rPr>
                <w:rFonts w:cs="Calibri"/>
                <w:b/>
                <w:color w:val="000000"/>
              </w:rPr>
              <w:t>,</w:t>
            </w:r>
            <w:r w:rsidRPr="003B2E6B">
              <w:rPr>
                <w:rFonts w:cs="Calibri"/>
                <w:b/>
                <w:color w:val="000000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0A62C593" w14:textId="6A17AAC5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10,7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A424D61" w14:textId="64854155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-7,7</w:t>
            </w:r>
          </w:p>
        </w:tc>
      </w:tr>
      <w:tr w:rsidR="003B2E6B" w:rsidRPr="003127E7" w14:paraId="593D48E2" w14:textId="7777777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5468358" w14:textId="77777777" w:rsidR="003B2E6B" w:rsidRPr="00F31BC3" w:rsidRDefault="003B2E6B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Satışlarınızın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2D29C30D" w14:textId="0DB0BBDF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-5,1</w:t>
            </w:r>
          </w:p>
        </w:tc>
        <w:tc>
          <w:tcPr>
            <w:tcW w:w="488" w:type="pct"/>
            <w:vAlign w:val="bottom"/>
          </w:tcPr>
          <w:p w14:paraId="362C9BC5" w14:textId="1217E6BB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-27,3</w:t>
            </w:r>
          </w:p>
        </w:tc>
        <w:tc>
          <w:tcPr>
            <w:tcW w:w="559" w:type="pct"/>
            <w:vAlign w:val="bottom"/>
          </w:tcPr>
          <w:p w14:paraId="6860AA6F" w14:textId="7AF49606" w:rsidR="003B2E6B" w:rsidRPr="003B2E6B" w:rsidRDefault="003B2E6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B2E6B">
              <w:rPr>
                <w:rFonts w:cs="Calibri"/>
                <w:b/>
                <w:color w:val="000000"/>
              </w:rPr>
              <w:t>-11</w:t>
            </w:r>
            <w:r>
              <w:rPr>
                <w:rFonts w:cs="Calibri"/>
                <w:b/>
                <w:color w:val="000000"/>
              </w:rPr>
              <w:t>,</w:t>
            </w:r>
            <w:r w:rsidRPr="003B2E6B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68" w:type="pct"/>
            <w:vAlign w:val="bottom"/>
          </w:tcPr>
          <w:p w14:paraId="5F77444E" w14:textId="069AEF33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16,1</w:t>
            </w:r>
          </w:p>
        </w:tc>
        <w:tc>
          <w:tcPr>
            <w:tcW w:w="1043" w:type="pct"/>
            <w:vAlign w:val="bottom"/>
          </w:tcPr>
          <w:p w14:paraId="7D845852" w14:textId="59407B0B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-6,1</w:t>
            </w:r>
          </w:p>
        </w:tc>
      </w:tr>
      <w:tr w:rsidR="003B2E6B" w:rsidRPr="003127E7" w14:paraId="38572E86" w14:textId="77777777" w:rsidTr="00AC52FF">
        <w:trPr>
          <w:trHeight w:val="1138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F21F320" w14:textId="77777777" w:rsidR="003B2E6B" w:rsidRPr="00F31BC3" w:rsidRDefault="003B2E6B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İstihdam ettiğiniz personel sayısının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478D11D" w14:textId="0B8F2FCD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9FB321B" w14:textId="4784B01A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14BE174B" w14:textId="5A96CA54" w:rsidR="003B2E6B" w:rsidRPr="003B2E6B" w:rsidRDefault="003B2E6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B2E6B">
              <w:rPr>
                <w:rFonts w:cs="Calibri"/>
                <w:b/>
                <w:color w:val="000000"/>
              </w:rPr>
              <w:t>-0</w:t>
            </w:r>
            <w:r>
              <w:rPr>
                <w:rFonts w:cs="Calibri"/>
                <w:b/>
                <w:color w:val="000000"/>
              </w:rPr>
              <w:t>,</w:t>
            </w:r>
            <w:r w:rsidRPr="003B2E6B">
              <w:rPr>
                <w:rFonts w:cs="Calibri"/>
                <w:b/>
                <w:color w:val="000000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B9057C9" w14:textId="634B010E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5,0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4B84950F" w14:textId="4177CBBA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-10,2</w:t>
            </w:r>
          </w:p>
        </w:tc>
      </w:tr>
      <w:tr w:rsidR="003B2E6B" w:rsidRPr="003127E7" w14:paraId="5A77BE8C" w14:textId="7777777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3A0AEDD" w14:textId="77777777" w:rsidR="003B2E6B" w:rsidRPr="00F31BC3" w:rsidRDefault="003B2E6B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Satış fiyatlarınızın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46610224" w14:textId="52EED2EF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36,1</w:t>
            </w:r>
          </w:p>
        </w:tc>
        <w:tc>
          <w:tcPr>
            <w:tcW w:w="488" w:type="pct"/>
            <w:vAlign w:val="bottom"/>
          </w:tcPr>
          <w:p w14:paraId="129BFF37" w14:textId="535D5B41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25,9</w:t>
            </w:r>
          </w:p>
        </w:tc>
        <w:tc>
          <w:tcPr>
            <w:tcW w:w="559" w:type="pct"/>
            <w:vAlign w:val="bottom"/>
          </w:tcPr>
          <w:p w14:paraId="059A962F" w14:textId="138BB28E" w:rsidR="003B2E6B" w:rsidRPr="003B2E6B" w:rsidRDefault="003B2E6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B2E6B">
              <w:rPr>
                <w:rFonts w:cs="Calibri"/>
                <w:b/>
                <w:color w:val="000000"/>
              </w:rPr>
              <w:t>34</w:t>
            </w:r>
            <w:r>
              <w:rPr>
                <w:rFonts w:cs="Calibri"/>
                <w:b/>
                <w:color w:val="000000"/>
              </w:rPr>
              <w:t>,</w:t>
            </w:r>
            <w:r w:rsidRPr="003B2E6B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768" w:type="pct"/>
            <w:vAlign w:val="bottom"/>
          </w:tcPr>
          <w:p w14:paraId="16803B34" w14:textId="0A2F959E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</w:t>
            </w:r>
            <w:r w:rsidR="002D6457">
              <w:rPr>
                <w:rFonts w:cs="Calibri"/>
                <w:color w:val="000000"/>
              </w:rPr>
              <w:t>4</w:t>
            </w:r>
          </w:p>
        </w:tc>
        <w:tc>
          <w:tcPr>
            <w:tcW w:w="1043" w:type="pct"/>
            <w:vAlign w:val="bottom"/>
          </w:tcPr>
          <w:p w14:paraId="506C0139" w14:textId="1188155C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-1,8</w:t>
            </w:r>
          </w:p>
        </w:tc>
      </w:tr>
      <w:tr w:rsidR="003B2E6B" w:rsidRPr="003127E7" w14:paraId="320A3CF8" w14:textId="77777777" w:rsidTr="00AC52FF">
        <w:trPr>
          <w:trHeight w:val="85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ED5EEB4" w14:textId="77777777" w:rsidR="003B2E6B" w:rsidRPr="00F31BC3" w:rsidRDefault="003B2E6B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İşleriniz geçen yılın aynı dönemine göre bu yıl nasıl gelişti?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033542C" w14:textId="483F6159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-31,1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C30DB39" w14:textId="3C4339AB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-51,4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956FF3C" w14:textId="28AD91A4" w:rsidR="003B2E6B" w:rsidRPr="003B2E6B" w:rsidRDefault="003B2E6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B2E6B">
              <w:rPr>
                <w:rFonts w:cs="Calibri"/>
                <w:b/>
                <w:color w:val="000000"/>
              </w:rPr>
              <w:t>-35</w:t>
            </w:r>
            <w:r>
              <w:rPr>
                <w:rFonts w:cs="Calibri"/>
                <w:b/>
                <w:color w:val="000000"/>
              </w:rPr>
              <w:t>,</w:t>
            </w:r>
            <w:r w:rsidRPr="003B2E6B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98A7F5B" w14:textId="487F54D2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3144A8BE" w14:textId="268B4AB7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-4,2</w:t>
            </w:r>
          </w:p>
        </w:tc>
      </w:tr>
      <w:tr w:rsidR="003B2E6B" w:rsidRPr="003127E7" w14:paraId="153A4DC7" w14:textId="77777777" w:rsidTr="00AC52FF">
        <w:trPr>
          <w:trHeight w:val="588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4DD1B58F" w14:textId="77777777" w:rsidR="003B2E6B" w:rsidRPr="00F31BC3" w:rsidRDefault="003B2E6B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Mağaza sayınızın gelecek yıl nasıl değişmesini bekliyorsunuz?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012F0306" w14:textId="3F49440D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5,8</w:t>
            </w:r>
          </w:p>
        </w:tc>
        <w:tc>
          <w:tcPr>
            <w:tcW w:w="488" w:type="pct"/>
            <w:tcBorders>
              <w:bottom w:val="single" w:sz="8" w:space="0" w:color="4BACC6"/>
            </w:tcBorders>
            <w:vAlign w:val="bottom"/>
          </w:tcPr>
          <w:p w14:paraId="0393A904" w14:textId="25DB221B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52C7BBE5" w14:textId="5015A47F" w:rsidR="003B2E6B" w:rsidRPr="003B2E6B" w:rsidRDefault="003B2E6B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B2E6B">
              <w:rPr>
                <w:rFonts w:cs="Calibri"/>
                <w:b/>
                <w:color w:val="000000"/>
              </w:rPr>
              <w:t>6</w:t>
            </w:r>
            <w:r>
              <w:rPr>
                <w:rFonts w:cs="Calibri"/>
                <w:b/>
                <w:color w:val="000000"/>
              </w:rPr>
              <w:t>,</w:t>
            </w:r>
            <w:r w:rsidRPr="003B2E6B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68" w:type="pct"/>
            <w:tcBorders>
              <w:bottom w:val="single" w:sz="8" w:space="0" w:color="4BACC6"/>
            </w:tcBorders>
            <w:vAlign w:val="bottom"/>
          </w:tcPr>
          <w:p w14:paraId="5380236E" w14:textId="678C9182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1043" w:type="pct"/>
            <w:tcBorders>
              <w:bottom w:val="single" w:sz="8" w:space="0" w:color="4BACC6"/>
            </w:tcBorders>
            <w:vAlign w:val="bottom"/>
          </w:tcPr>
          <w:p w14:paraId="75DC0860" w14:textId="09916CEA" w:rsidR="003B2E6B" w:rsidRDefault="003B2E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</w:tr>
    </w:tbl>
    <w:p w14:paraId="78C68B5B" w14:textId="77777777" w:rsidR="008866B1" w:rsidRDefault="008866B1" w:rsidP="0020181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73DD0782" w14:textId="78CCF484" w:rsidR="00201819" w:rsidRPr="00E001EC" w:rsidRDefault="00201819" w:rsidP="0026040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E001EC">
        <w:rPr>
          <w:rFonts w:asciiTheme="minorHAnsi" w:hAnsiTheme="minorHAnsi" w:cs="Arial"/>
          <w:color w:val="0070C0"/>
          <w:sz w:val="28"/>
        </w:rPr>
        <w:t>AB’de perakende güveni</w:t>
      </w:r>
      <w:r w:rsidR="00E74D43" w:rsidRPr="00E001EC">
        <w:rPr>
          <w:rFonts w:asciiTheme="minorHAnsi" w:hAnsiTheme="minorHAnsi" w:cs="Arial"/>
          <w:color w:val="0070C0"/>
          <w:sz w:val="28"/>
        </w:rPr>
        <w:t xml:space="preserve"> geçen yıla kıyasla</w:t>
      </w:r>
      <w:r w:rsidR="000E48D8" w:rsidRPr="00E001EC">
        <w:rPr>
          <w:rFonts w:asciiTheme="minorHAnsi" w:hAnsiTheme="minorHAnsi" w:cs="Arial"/>
          <w:color w:val="0070C0"/>
          <w:sz w:val="28"/>
        </w:rPr>
        <w:t xml:space="preserve"> </w:t>
      </w:r>
      <w:r w:rsidR="00260409" w:rsidRPr="00E001EC">
        <w:rPr>
          <w:rFonts w:asciiTheme="minorHAnsi" w:hAnsiTheme="minorHAnsi" w:cs="Arial"/>
          <w:color w:val="0070C0"/>
          <w:sz w:val="28"/>
        </w:rPr>
        <w:t>azaldı</w:t>
      </w:r>
    </w:p>
    <w:p w14:paraId="01760456" w14:textId="259D0034" w:rsidR="00201819" w:rsidRPr="00591045" w:rsidRDefault="00201819" w:rsidP="00E74D43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AB-28 Perakende Güven Endeksi, </w:t>
      </w:r>
      <w:r w:rsidR="00E001EC" w:rsidRPr="00E001EC">
        <w:rPr>
          <w:rFonts w:asciiTheme="minorHAnsi" w:hAnsiTheme="minorHAnsi" w:cs="Arial"/>
          <w:b w:val="0"/>
          <w:color w:val="0070C0"/>
          <w:sz w:val="24"/>
        </w:rPr>
        <w:t>Mart</w:t>
      </w:r>
      <w:r w:rsidR="00493EB2" w:rsidRPr="00E001EC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001EC" w:rsidRPr="00E001EC">
        <w:rPr>
          <w:rFonts w:asciiTheme="minorHAnsi" w:hAnsiTheme="minorHAnsi" w:cs="Arial"/>
          <w:b w:val="0"/>
          <w:color w:val="0070C0"/>
          <w:sz w:val="24"/>
        </w:rPr>
        <w:t>1,5</w:t>
      </w:r>
      <w:r w:rsidR="00B775B3"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70E96" w:rsidRPr="00E001EC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değerini aldı. AB-28’de </w:t>
      </w:r>
      <w:r w:rsidR="00D62AFB" w:rsidRPr="00E001EC">
        <w:rPr>
          <w:rFonts w:asciiTheme="minorHAnsi" w:hAnsiTheme="minorHAnsi" w:cs="Arial"/>
          <w:b w:val="0"/>
          <w:color w:val="0070C0"/>
          <w:sz w:val="24"/>
        </w:rPr>
        <w:t xml:space="preserve">perakende güveni 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bir önceki aya göre </w:t>
      </w:r>
      <w:r w:rsidR="00E74D43" w:rsidRPr="00E001EC">
        <w:rPr>
          <w:rFonts w:asciiTheme="minorHAnsi" w:hAnsiTheme="minorHAnsi" w:cs="Arial"/>
          <w:b w:val="0"/>
          <w:color w:val="0070C0"/>
          <w:sz w:val="24"/>
        </w:rPr>
        <w:t>1,0</w:t>
      </w:r>
      <w:r w:rsidR="00A3555C"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0E76B9" w:rsidRPr="00E001EC">
        <w:rPr>
          <w:rFonts w:asciiTheme="minorHAnsi" w:hAnsiTheme="minorHAnsi" w:cs="Arial"/>
          <w:b w:val="0"/>
          <w:color w:val="0070C0"/>
          <w:sz w:val="24"/>
        </w:rPr>
        <w:t>puan</w:t>
      </w:r>
      <w:r w:rsidR="00E74D43" w:rsidRPr="00E001EC">
        <w:rPr>
          <w:rFonts w:asciiTheme="minorHAnsi" w:hAnsiTheme="minorHAnsi" w:cs="Arial"/>
          <w:b w:val="0"/>
          <w:color w:val="0070C0"/>
          <w:sz w:val="24"/>
        </w:rPr>
        <w:t xml:space="preserve"> artarken</w:t>
      </w:r>
      <w:r w:rsidR="00A3555C" w:rsidRPr="00E001EC">
        <w:rPr>
          <w:rFonts w:asciiTheme="minorHAnsi" w:hAnsiTheme="minorHAnsi" w:cs="Arial"/>
          <w:b w:val="0"/>
          <w:color w:val="0070C0"/>
          <w:sz w:val="24"/>
        </w:rPr>
        <w:t>, g</w:t>
      </w:r>
      <w:r w:rsidRPr="00E001EC">
        <w:rPr>
          <w:rFonts w:asciiTheme="minorHAnsi" w:hAnsiTheme="minorHAnsi" w:cs="Arial"/>
          <w:b w:val="0"/>
          <w:color w:val="0070C0"/>
          <w:sz w:val="24"/>
        </w:rPr>
        <w:t>eçe</w:t>
      </w:r>
      <w:r w:rsidR="002A3226" w:rsidRPr="00E001EC">
        <w:rPr>
          <w:rFonts w:asciiTheme="minorHAnsi" w:hAnsiTheme="minorHAnsi" w:cs="Arial"/>
          <w:b w:val="0"/>
          <w:color w:val="0070C0"/>
          <w:sz w:val="24"/>
        </w:rPr>
        <w:t xml:space="preserve">n </w:t>
      </w:r>
      <w:r w:rsidR="00F3091F" w:rsidRPr="00E001EC">
        <w:rPr>
          <w:rFonts w:asciiTheme="minorHAnsi" w:hAnsiTheme="minorHAnsi" w:cs="Arial"/>
          <w:b w:val="0"/>
          <w:color w:val="0070C0"/>
          <w:sz w:val="24"/>
        </w:rPr>
        <w:t>y</w:t>
      </w:r>
      <w:r w:rsidR="00535C20" w:rsidRPr="00E001EC">
        <w:rPr>
          <w:rFonts w:asciiTheme="minorHAnsi" w:hAnsiTheme="minorHAnsi" w:cs="Arial"/>
          <w:b w:val="0"/>
          <w:color w:val="0070C0"/>
          <w:sz w:val="24"/>
        </w:rPr>
        <w:t xml:space="preserve">ılın aynı dönemine göre </w:t>
      </w:r>
      <w:r w:rsidR="00E001EC" w:rsidRPr="00E001EC">
        <w:rPr>
          <w:rFonts w:asciiTheme="minorHAnsi" w:hAnsiTheme="minorHAnsi" w:cs="Arial"/>
          <w:b w:val="0"/>
          <w:color w:val="0070C0"/>
          <w:sz w:val="24"/>
        </w:rPr>
        <w:t>1,5</w:t>
      </w:r>
      <w:r w:rsidR="006B7970"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967F2" w:rsidRPr="00E001EC">
        <w:rPr>
          <w:rFonts w:asciiTheme="minorHAnsi" w:hAnsiTheme="minorHAnsi" w:cs="Arial"/>
          <w:b w:val="0"/>
          <w:color w:val="0070C0"/>
          <w:sz w:val="24"/>
        </w:rPr>
        <w:t>puan</w:t>
      </w:r>
      <w:r w:rsidR="000E48D8" w:rsidRPr="00E001EC">
        <w:rPr>
          <w:rFonts w:asciiTheme="minorHAnsi" w:hAnsiTheme="minorHAnsi" w:cs="Arial"/>
          <w:b w:val="0"/>
          <w:color w:val="0070C0"/>
          <w:sz w:val="24"/>
        </w:rPr>
        <w:t xml:space="preserve"> a</w:t>
      </w:r>
      <w:r w:rsidR="006B7970" w:rsidRPr="00E001EC">
        <w:rPr>
          <w:rFonts w:asciiTheme="minorHAnsi" w:hAnsiTheme="minorHAnsi" w:cs="Arial"/>
          <w:b w:val="0"/>
          <w:color w:val="0070C0"/>
          <w:sz w:val="24"/>
        </w:rPr>
        <w:t>zaldı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081840" w:rsidRPr="00E001EC">
        <w:rPr>
          <w:rFonts w:asciiTheme="minorHAnsi" w:hAnsiTheme="minorHAnsi" w:cs="Arial"/>
          <w:b w:val="0"/>
          <w:color w:val="0070C0"/>
          <w:sz w:val="24"/>
        </w:rPr>
        <w:t xml:space="preserve">Türkiye, </w:t>
      </w:r>
      <w:r w:rsidR="00DE438E" w:rsidRPr="00E001EC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kıyasla </w:t>
      </w:r>
      <w:r w:rsidR="00476479" w:rsidRPr="00E001EC">
        <w:rPr>
          <w:rFonts w:asciiTheme="minorHAnsi" w:hAnsiTheme="minorHAnsi" w:cs="Arial"/>
          <w:b w:val="0"/>
          <w:color w:val="0070C0"/>
          <w:sz w:val="24"/>
        </w:rPr>
        <w:t>AB-28</w:t>
      </w:r>
      <w:r w:rsidR="00E74D43" w:rsidRPr="00E001EC">
        <w:rPr>
          <w:rFonts w:asciiTheme="minorHAnsi" w:hAnsiTheme="minorHAnsi" w:cs="Arial"/>
          <w:b w:val="0"/>
          <w:color w:val="0070C0"/>
          <w:sz w:val="24"/>
        </w:rPr>
        <w:t xml:space="preserve"> ve Euro Bölgesi’nden daha kötü</w:t>
      </w:r>
      <w:r w:rsidR="00476479"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04089" w:rsidRPr="00E001EC">
        <w:rPr>
          <w:rFonts w:asciiTheme="minorHAnsi" w:hAnsiTheme="minorHAnsi" w:cs="Arial"/>
          <w:b w:val="0"/>
          <w:color w:val="0070C0"/>
          <w:sz w:val="24"/>
        </w:rPr>
        <w:t xml:space="preserve">performans </w:t>
      </w:r>
      <w:r w:rsidR="00DE438E" w:rsidRPr="00E001EC">
        <w:rPr>
          <w:rFonts w:asciiTheme="minorHAnsi" w:hAnsiTheme="minorHAnsi" w:cs="Arial"/>
          <w:b w:val="0"/>
          <w:color w:val="0070C0"/>
          <w:sz w:val="24"/>
        </w:rPr>
        <w:t>sergiledi.</w:t>
      </w:r>
      <w:r w:rsidRPr="005824BC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2790FF55" w14:textId="77777777" w:rsidR="003423F7" w:rsidRDefault="003423F7" w:rsidP="003423F7">
      <w:pPr>
        <w:tabs>
          <w:tab w:val="left" w:pos="8258"/>
        </w:tabs>
        <w:spacing w:after="0" w:line="240" w:lineRule="auto"/>
        <w:jc w:val="both"/>
        <w:rPr>
          <w:rFonts w:asciiTheme="minorHAnsi" w:hAnsiTheme="minorHAnsi"/>
          <w:b/>
        </w:rPr>
      </w:pPr>
    </w:p>
    <w:p w14:paraId="6BC6C08C" w14:textId="49F33231" w:rsidR="00A32056" w:rsidRDefault="003423F7" w:rsidP="003B2E6B">
      <w:pPr>
        <w:tabs>
          <w:tab w:val="left" w:pos="8258"/>
        </w:tabs>
        <w:spacing w:after="0"/>
        <w:rPr>
          <w:rFonts w:asciiTheme="minorHAnsi" w:hAnsiTheme="minorHAnsi"/>
        </w:rPr>
      </w:pPr>
      <w:r w:rsidRPr="003E18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5</w:t>
      </w:r>
      <w:r w:rsidRPr="003E185F">
        <w:rPr>
          <w:rFonts w:asciiTheme="minorHAnsi" w:hAnsiTheme="minorHAnsi"/>
          <w:b/>
        </w:rPr>
        <w:t>.</w:t>
      </w:r>
      <w:r w:rsidRPr="003E185F">
        <w:rPr>
          <w:rFonts w:asciiTheme="minorHAnsi" w:hAnsiTheme="minorHAnsi"/>
        </w:rPr>
        <w:t xml:space="preserve"> TEPE ile AB-2</w:t>
      </w:r>
      <w:r>
        <w:rPr>
          <w:rFonts w:asciiTheme="minorHAnsi" w:hAnsiTheme="minorHAnsi"/>
        </w:rPr>
        <w:t>8</w:t>
      </w:r>
      <w:r w:rsidRPr="003E185F">
        <w:rPr>
          <w:rFonts w:asciiTheme="minorHAnsi" w:hAnsiTheme="minorHAnsi"/>
        </w:rPr>
        <w:t xml:space="preserve"> Perakende Endeksinin karşılaştırılması (</w:t>
      </w:r>
      <w:r w:rsidR="00E001EC">
        <w:rPr>
          <w:rFonts w:asciiTheme="minorHAnsi" w:hAnsiTheme="minorHAnsi"/>
        </w:rPr>
        <w:t>Mart</w:t>
      </w:r>
      <w:r w:rsidR="00D53B7F">
        <w:rPr>
          <w:rFonts w:asciiTheme="minorHAnsi" w:hAnsiTheme="minorHAnsi"/>
        </w:rPr>
        <w:t xml:space="preserve"> 2018</w:t>
      </w:r>
      <w:r w:rsidR="00D53B7F" w:rsidRPr="00662EBC">
        <w:rPr>
          <w:rFonts w:asciiTheme="minorHAnsi" w:hAnsiTheme="minorHAnsi"/>
        </w:rPr>
        <w:t xml:space="preserve"> –</w:t>
      </w:r>
      <w:r w:rsidR="00E001EC">
        <w:rPr>
          <w:rFonts w:asciiTheme="minorHAnsi" w:hAnsiTheme="minorHAnsi"/>
        </w:rPr>
        <w:t xml:space="preserve"> Mart</w:t>
      </w:r>
      <w:r w:rsidR="00D53B7F">
        <w:rPr>
          <w:rFonts w:asciiTheme="minorHAnsi" w:hAnsiTheme="minorHAnsi"/>
        </w:rPr>
        <w:t xml:space="preserve"> 2019</w:t>
      </w:r>
      <w:r w:rsidRPr="003E185F">
        <w:rPr>
          <w:rFonts w:asciiTheme="minorHAnsi" w:hAnsiTheme="minorHAnsi"/>
        </w:rPr>
        <w:t>)</w:t>
      </w:r>
      <w:r w:rsidR="00BC3791" w:rsidRPr="00BC3791">
        <w:rPr>
          <w:noProof/>
          <w:lang w:eastAsia="tr-TR"/>
        </w:rPr>
        <w:t xml:space="preserve"> </w:t>
      </w:r>
      <w:r w:rsidR="00E001EC">
        <w:rPr>
          <w:noProof/>
          <w:lang w:eastAsia="tr-TR"/>
        </w:rPr>
        <w:drawing>
          <wp:inline distT="0" distB="0" distL="0" distR="0" wp14:anchorId="11D9671B" wp14:editId="35783885">
            <wp:extent cx="5759450" cy="2584369"/>
            <wp:effectExtent l="0" t="0" r="12700" b="26035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D59AFE" w14:textId="77777777" w:rsidR="009765D5" w:rsidRDefault="009765D5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7A7DDEA" w14:textId="77777777" w:rsidR="00755126" w:rsidRDefault="00755126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DF9131B" w14:textId="77777777" w:rsidR="003423F7" w:rsidRPr="00A534C3" w:rsidRDefault="00A52D51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Tablo-5</w:t>
      </w:r>
      <w:r w:rsidR="003423F7" w:rsidRPr="004600F3">
        <w:rPr>
          <w:rFonts w:asciiTheme="minorHAnsi" w:hAnsiTheme="minorHAnsi"/>
          <w:b/>
        </w:rPr>
        <w:t>.</w:t>
      </w:r>
      <w:r w:rsidR="003423F7" w:rsidRPr="004600F3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  <w:r w:rsidR="003423F7"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83" w:type="dxa"/>
        <w:jc w:val="center"/>
        <w:tblLook w:val="04A0" w:firstRow="1" w:lastRow="0" w:firstColumn="1" w:lastColumn="0" w:noHBand="0" w:noVBand="1"/>
      </w:tblPr>
      <w:tblGrid>
        <w:gridCol w:w="989"/>
        <w:gridCol w:w="706"/>
        <w:gridCol w:w="769"/>
        <w:gridCol w:w="706"/>
        <w:gridCol w:w="874"/>
        <w:gridCol w:w="769"/>
        <w:gridCol w:w="935"/>
        <w:gridCol w:w="1024"/>
        <w:gridCol w:w="1012"/>
        <w:gridCol w:w="691"/>
        <w:gridCol w:w="692"/>
        <w:gridCol w:w="847"/>
        <w:gridCol w:w="769"/>
      </w:tblGrid>
      <w:tr w:rsidR="003423F7" w:rsidRPr="003127E7" w14:paraId="3322AEC2" w14:textId="77777777" w:rsidTr="00D95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  <w:hideMark/>
          </w:tcPr>
          <w:p w14:paraId="775EB604" w14:textId="77777777" w:rsidR="003423F7" w:rsidRPr="00A534C3" w:rsidRDefault="003423F7" w:rsidP="002028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6" w:type="dxa"/>
            <w:noWrap/>
            <w:vAlign w:val="center"/>
            <w:hideMark/>
          </w:tcPr>
          <w:p w14:paraId="0779B509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769" w:type="dxa"/>
            <w:noWrap/>
            <w:vAlign w:val="center"/>
            <w:hideMark/>
          </w:tcPr>
          <w:p w14:paraId="6322DE3A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6" w:type="dxa"/>
            <w:noWrap/>
            <w:vAlign w:val="center"/>
            <w:hideMark/>
          </w:tcPr>
          <w:p w14:paraId="4BB44D9B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74" w:type="dxa"/>
            <w:noWrap/>
            <w:vAlign w:val="center"/>
            <w:hideMark/>
          </w:tcPr>
          <w:p w14:paraId="5F121AC8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69" w:type="dxa"/>
            <w:noWrap/>
            <w:vAlign w:val="center"/>
            <w:hideMark/>
          </w:tcPr>
          <w:p w14:paraId="549A64F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35" w:type="dxa"/>
            <w:noWrap/>
            <w:vAlign w:val="center"/>
            <w:hideMark/>
          </w:tcPr>
          <w:p w14:paraId="421F35D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24" w:type="dxa"/>
            <w:noWrap/>
            <w:vAlign w:val="center"/>
            <w:hideMark/>
          </w:tcPr>
          <w:p w14:paraId="4260323F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12" w:type="dxa"/>
            <w:noWrap/>
            <w:vAlign w:val="center"/>
            <w:hideMark/>
          </w:tcPr>
          <w:p w14:paraId="7F7471E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691" w:type="dxa"/>
            <w:noWrap/>
            <w:vAlign w:val="center"/>
            <w:hideMark/>
          </w:tcPr>
          <w:p w14:paraId="31419A28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692" w:type="dxa"/>
            <w:noWrap/>
            <w:vAlign w:val="center"/>
            <w:hideMark/>
          </w:tcPr>
          <w:p w14:paraId="3CC3CD11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47" w:type="dxa"/>
            <w:noWrap/>
            <w:vAlign w:val="center"/>
            <w:hideMark/>
          </w:tcPr>
          <w:p w14:paraId="3E9EEB87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69" w:type="dxa"/>
            <w:noWrap/>
            <w:vAlign w:val="center"/>
            <w:hideMark/>
          </w:tcPr>
          <w:p w14:paraId="71BE7886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3B2E6B" w:rsidRPr="00B775B3" w14:paraId="1C81461F" w14:textId="77777777" w:rsidTr="0063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5497088A" w14:textId="0AF4DDF3" w:rsidR="003B2E6B" w:rsidRPr="00847C02" w:rsidRDefault="003B2E6B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06" w:type="dxa"/>
            <w:noWrap/>
            <w:vAlign w:val="bottom"/>
          </w:tcPr>
          <w:p w14:paraId="412F7B96" w14:textId="7D9BD1CA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769" w:type="dxa"/>
            <w:noWrap/>
            <w:vAlign w:val="bottom"/>
          </w:tcPr>
          <w:p w14:paraId="55A50115" w14:textId="7A7BDBBD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706" w:type="dxa"/>
            <w:noWrap/>
            <w:vAlign w:val="bottom"/>
          </w:tcPr>
          <w:p w14:paraId="3627696E" w14:textId="1E24F79F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3,7</w:t>
            </w:r>
          </w:p>
        </w:tc>
        <w:tc>
          <w:tcPr>
            <w:tcW w:w="874" w:type="dxa"/>
            <w:noWrap/>
            <w:vAlign w:val="bottom"/>
          </w:tcPr>
          <w:p w14:paraId="210482E5" w14:textId="234CDE3F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769" w:type="dxa"/>
            <w:noWrap/>
            <w:vAlign w:val="bottom"/>
          </w:tcPr>
          <w:p w14:paraId="451E4E2D" w14:textId="56EBCA5E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14:paraId="36A9FD06" w14:textId="7D939EC0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1024" w:type="dxa"/>
            <w:noWrap/>
            <w:vAlign w:val="bottom"/>
          </w:tcPr>
          <w:p w14:paraId="325C9F81" w14:textId="22264D07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1012" w:type="dxa"/>
            <w:noWrap/>
            <w:vAlign w:val="bottom"/>
          </w:tcPr>
          <w:p w14:paraId="265FE6EA" w14:textId="0848EF03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691" w:type="dxa"/>
            <w:noWrap/>
            <w:vAlign w:val="bottom"/>
          </w:tcPr>
          <w:p w14:paraId="482A6AAF" w14:textId="0CB727B0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692" w:type="dxa"/>
            <w:noWrap/>
            <w:vAlign w:val="bottom"/>
          </w:tcPr>
          <w:p w14:paraId="1E4BA6F3" w14:textId="132EE95F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  <w:tc>
          <w:tcPr>
            <w:tcW w:w="847" w:type="dxa"/>
            <w:noWrap/>
            <w:vAlign w:val="bottom"/>
          </w:tcPr>
          <w:p w14:paraId="575076EB" w14:textId="7C71FE07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769" w:type="dxa"/>
            <w:noWrap/>
            <w:vAlign w:val="bottom"/>
          </w:tcPr>
          <w:p w14:paraId="44EEE984" w14:textId="63578F0C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</w:tr>
      <w:tr w:rsidR="003B2E6B" w:rsidRPr="003127E7" w14:paraId="037B44C9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266BCC95" w14:textId="1905C418" w:rsidR="003B2E6B" w:rsidRDefault="003B2E6B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auto"/>
              </w:rPr>
              <w:t>2018</w:t>
            </w:r>
          </w:p>
        </w:tc>
        <w:tc>
          <w:tcPr>
            <w:tcW w:w="706" w:type="dxa"/>
            <w:noWrap/>
            <w:vAlign w:val="bottom"/>
          </w:tcPr>
          <w:p w14:paraId="1094483F" w14:textId="75763BFE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769" w:type="dxa"/>
            <w:noWrap/>
            <w:vAlign w:val="bottom"/>
          </w:tcPr>
          <w:p w14:paraId="23A463BE" w14:textId="182A6B9C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706" w:type="dxa"/>
            <w:noWrap/>
            <w:vAlign w:val="bottom"/>
          </w:tcPr>
          <w:p w14:paraId="7493351B" w14:textId="722DA211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874" w:type="dxa"/>
            <w:noWrap/>
            <w:vAlign w:val="bottom"/>
          </w:tcPr>
          <w:p w14:paraId="4E6938C8" w14:textId="73000885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  <w:tc>
          <w:tcPr>
            <w:tcW w:w="769" w:type="dxa"/>
            <w:noWrap/>
            <w:vAlign w:val="bottom"/>
          </w:tcPr>
          <w:p w14:paraId="35B420C1" w14:textId="206DF41B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14:paraId="5A596C9F" w14:textId="1E0DC187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3,5</w:t>
            </w:r>
          </w:p>
        </w:tc>
        <w:tc>
          <w:tcPr>
            <w:tcW w:w="1024" w:type="dxa"/>
            <w:noWrap/>
            <w:vAlign w:val="bottom"/>
          </w:tcPr>
          <w:p w14:paraId="33A8E7CE" w14:textId="1A9A8923" w:rsidR="003B2E6B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1012" w:type="dxa"/>
            <w:noWrap/>
            <w:vAlign w:val="bottom"/>
          </w:tcPr>
          <w:p w14:paraId="71D18DB8" w14:textId="4B0B4F77" w:rsidR="003B2E6B" w:rsidRPr="00B775B3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691" w:type="dxa"/>
            <w:noWrap/>
            <w:vAlign w:val="bottom"/>
          </w:tcPr>
          <w:p w14:paraId="0F36BB6A" w14:textId="3A127653" w:rsidR="003B2E6B" w:rsidRPr="00B775B3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4,4</w:t>
            </w:r>
          </w:p>
        </w:tc>
        <w:tc>
          <w:tcPr>
            <w:tcW w:w="692" w:type="dxa"/>
            <w:noWrap/>
            <w:vAlign w:val="bottom"/>
          </w:tcPr>
          <w:p w14:paraId="41C096D1" w14:textId="74965251" w:rsidR="003B2E6B" w:rsidRPr="00B775B3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847" w:type="dxa"/>
            <w:noWrap/>
            <w:vAlign w:val="bottom"/>
          </w:tcPr>
          <w:p w14:paraId="1466AA71" w14:textId="613CC8E8" w:rsidR="003B2E6B" w:rsidRPr="00B775B3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769" w:type="dxa"/>
            <w:noWrap/>
            <w:vAlign w:val="bottom"/>
          </w:tcPr>
          <w:p w14:paraId="41A574B6" w14:textId="7E8EB548" w:rsidR="003B2E6B" w:rsidRPr="00B775B3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</w:tr>
      <w:tr w:rsidR="003B2E6B" w:rsidRPr="00B775B3" w14:paraId="6CEF2B90" w14:textId="77777777" w:rsidTr="0063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2B0A7E41" w14:textId="65A685AE" w:rsidR="003B2E6B" w:rsidRPr="00B775B3" w:rsidRDefault="003B2E6B" w:rsidP="00F2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2019</w:t>
            </w:r>
          </w:p>
        </w:tc>
        <w:tc>
          <w:tcPr>
            <w:tcW w:w="706" w:type="dxa"/>
            <w:noWrap/>
            <w:vAlign w:val="bottom"/>
          </w:tcPr>
          <w:p w14:paraId="4C9A5609" w14:textId="3F5C9AB0" w:rsidR="003B2E6B" w:rsidRPr="00B775B3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-0,7</w:t>
            </w:r>
          </w:p>
        </w:tc>
        <w:tc>
          <w:tcPr>
            <w:tcW w:w="769" w:type="dxa"/>
            <w:noWrap/>
            <w:vAlign w:val="bottom"/>
          </w:tcPr>
          <w:p w14:paraId="57E3699D" w14:textId="4BF9FD7A" w:rsidR="003B2E6B" w:rsidRPr="00B775B3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706" w:type="dxa"/>
            <w:noWrap/>
            <w:vAlign w:val="bottom"/>
          </w:tcPr>
          <w:p w14:paraId="4A579DC7" w14:textId="0E8D54EC" w:rsidR="003B2E6B" w:rsidRPr="00B775B3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1,5</w:t>
            </w:r>
          </w:p>
        </w:tc>
        <w:tc>
          <w:tcPr>
            <w:tcW w:w="874" w:type="dxa"/>
            <w:noWrap/>
            <w:vAlign w:val="bottom"/>
          </w:tcPr>
          <w:p w14:paraId="1E4CAACB" w14:textId="695D0F31" w:rsidR="003B2E6B" w:rsidRPr="00B775B3" w:rsidRDefault="003B2E6B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769" w:type="dxa"/>
            <w:noWrap/>
            <w:vAlign w:val="bottom"/>
          </w:tcPr>
          <w:p w14:paraId="7E40FCDE" w14:textId="08CADBC0" w:rsidR="003B2E6B" w:rsidRPr="00B775B3" w:rsidRDefault="003B2E6B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35" w:type="dxa"/>
            <w:noWrap/>
            <w:vAlign w:val="bottom"/>
          </w:tcPr>
          <w:p w14:paraId="1E31C9A9" w14:textId="327D379A" w:rsidR="003B2E6B" w:rsidRPr="00B775B3" w:rsidRDefault="003B2E6B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24" w:type="dxa"/>
            <w:noWrap/>
            <w:vAlign w:val="bottom"/>
          </w:tcPr>
          <w:p w14:paraId="7712195B" w14:textId="2337E5F2" w:rsidR="003B2E6B" w:rsidRPr="00B775B3" w:rsidRDefault="003B2E6B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12" w:type="dxa"/>
            <w:noWrap/>
            <w:vAlign w:val="bottom"/>
          </w:tcPr>
          <w:p w14:paraId="0C63A469" w14:textId="669CAA23" w:rsidR="003B2E6B" w:rsidRPr="00B775B3" w:rsidRDefault="003B2E6B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91" w:type="dxa"/>
            <w:noWrap/>
            <w:vAlign w:val="bottom"/>
          </w:tcPr>
          <w:p w14:paraId="65A6F66E" w14:textId="08029862" w:rsidR="003B2E6B" w:rsidRPr="00B775B3" w:rsidRDefault="003B2E6B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92" w:type="dxa"/>
            <w:noWrap/>
            <w:vAlign w:val="bottom"/>
          </w:tcPr>
          <w:p w14:paraId="5148D332" w14:textId="36C03D76" w:rsidR="003B2E6B" w:rsidRPr="00B775B3" w:rsidRDefault="003B2E6B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847" w:type="dxa"/>
            <w:noWrap/>
            <w:vAlign w:val="bottom"/>
          </w:tcPr>
          <w:p w14:paraId="71DAFAF4" w14:textId="06E91466" w:rsidR="003B2E6B" w:rsidRPr="00B775B3" w:rsidRDefault="003B2E6B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769" w:type="dxa"/>
            <w:noWrap/>
            <w:vAlign w:val="center"/>
          </w:tcPr>
          <w:p w14:paraId="78DA6204" w14:textId="77777777" w:rsidR="003B2E6B" w:rsidRPr="00B775B3" w:rsidRDefault="003B2E6B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2E6713BF" w14:textId="77777777" w:rsidR="003423F7" w:rsidRPr="00B775B3" w:rsidRDefault="003423F7" w:rsidP="00B775B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436D5789" w14:textId="77777777" w:rsidR="003423F7" w:rsidRDefault="003423F7" w:rsidP="00124C33">
      <w:pPr>
        <w:spacing w:after="0"/>
        <w:jc w:val="center"/>
        <w:rPr>
          <w:rFonts w:asciiTheme="minorHAnsi" w:hAnsiTheme="minorHAnsi" w:cs="Arial"/>
        </w:rPr>
      </w:pPr>
    </w:p>
    <w:p w14:paraId="54C3F1BE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7C1DF118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23B71537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41B59D3F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6F5E518D" w14:textId="77777777" w:rsidR="005C5217" w:rsidRDefault="005C5217" w:rsidP="003423F7">
      <w:pPr>
        <w:spacing w:after="0"/>
        <w:rPr>
          <w:rFonts w:asciiTheme="minorHAnsi" w:hAnsiTheme="minorHAnsi" w:cs="Arial"/>
        </w:rPr>
      </w:pPr>
    </w:p>
    <w:p w14:paraId="106B7BFF" w14:textId="77777777" w:rsidR="005C5217" w:rsidRDefault="005C5217" w:rsidP="003423F7">
      <w:pPr>
        <w:spacing w:after="0"/>
        <w:rPr>
          <w:rFonts w:asciiTheme="minorHAnsi" w:hAnsiTheme="minorHAnsi" w:cs="Arial"/>
        </w:rPr>
      </w:pPr>
    </w:p>
    <w:p w14:paraId="06809D2A" w14:textId="77777777" w:rsidR="00FC774F" w:rsidRDefault="00FC774F" w:rsidP="003423F7">
      <w:pPr>
        <w:spacing w:after="0"/>
        <w:rPr>
          <w:rFonts w:asciiTheme="minorHAnsi" w:hAnsiTheme="minorHAnsi" w:cs="Arial"/>
        </w:rPr>
      </w:pPr>
    </w:p>
    <w:p w14:paraId="0F19F83A" w14:textId="77777777" w:rsidR="00FC774F" w:rsidRDefault="00FC774F" w:rsidP="003423F7">
      <w:pPr>
        <w:spacing w:after="0"/>
        <w:rPr>
          <w:rFonts w:asciiTheme="minorHAnsi" w:hAnsiTheme="minorHAnsi" w:cs="Arial"/>
        </w:rPr>
      </w:pPr>
    </w:p>
    <w:p w14:paraId="725483BD" w14:textId="186D7975" w:rsidR="00201819" w:rsidRPr="001B070E" w:rsidRDefault="006F08E2" w:rsidP="00E60618">
      <w:pPr>
        <w:pStyle w:val="Balk2"/>
        <w:spacing w:before="0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lastRenderedPageBreak/>
        <w:br/>
      </w:r>
      <w:r w:rsidR="00054192" w:rsidRPr="001B070E">
        <w:rPr>
          <w:rFonts w:asciiTheme="minorHAnsi" w:hAnsiTheme="minorHAnsi" w:cs="Arial"/>
          <w:color w:val="0070C0"/>
          <w:sz w:val="28"/>
        </w:rPr>
        <w:t xml:space="preserve">Perakende güveninde Türkiye, </w:t>
      </w:r>
      <w:r w:rsidR="00F5696E" w:rsidRPr="001B070E">
        <w:rPr>
          <w:rFonts w:asciiTheme="minorHAnsi" w:hAnsiTheme="minorHAnsi" w:cs="Arial"/>
          <w:color w:val="0070C0"/>
          <w:sz w:val="28"/>
        </w:rPr>
        <w:t xml:space="preserve">geçen yıla göre değişimde </w:t>
      </w:r>
      <w:r w:rsidR="00A84F0C" w:rsidRPr="001B070E">
        <w:rPr>
          <w:rFonts w:asciiTheme="minorHAnsi" w:hAnsiTheme="minorHAnsi" w:cs="Arial"/>
          <w:color w:val="0070C0"/>
          <w:sz w:val="28"/>
        </w:rPr>
        <w:t>AB-28</w:t>
      </w:r>
      <w:r w:rsidR="00D8417B" w:rsidRPr="001B070E">
        <w:rPr>
          <w:rFonts w:asciiTheme="minorHAnsi" w:hAnsiTheme="minorHAnsi" w:cs="Arial"/>
          <w:color w:val="0070C0"/>
          <w:sz w:val="28"/>
        </w:rPr>
        <w:t xml:space="preserve"> ve Euro Bölgesi’n</w:t>
      </w:r>
      <w:r w:rsidR="00E60618" w:rsidRPr="001B070E">
        <w:rPr>
          <w:rFonts w:asciiTheme="minorHAnsi" w:hAnsiTheme="minorHAnsi" w:cs="Arial"/>
          <w:color w:val="0070C0"/>
          <w:sz w:val="28"/>
        </w:rPr>
        <w:t xml:space="preserve">den daha kötü </w:t>
      </w:r>
      <w:r w:rsidR="00054192" w:rsidRPr="001B070E">
        <w:rPr>
          <w:rFonts w:asciiTheme="minorHAnsi" w:hAnsiTheme="minorHAnsi" w:cs="Arial"/>
          <w:color w:val="0070C0"/>
          <w:sz w:val="28"/>
        </w:rPr>
        <w:t>performans sergiledi</w:t>
      </w:r>
    </w:p>
    <w:p w14:paraId="2F4ECC1E" w14:textId="703475E2" w:rsidR="000F630D" w:rsidRPr="00351441" w:rsidRDefault="00201819" w:rsidP="00C64445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B070E">
        <w:rPr>
          <w:rFonts w:asciiTheme="minorHAnsi" w:hAnsiTheme="minorHAnsi" w:cs="Arial"/>
          <w:b w:val="0"/>
          <w:color w:val="0070C0"/>
          <w:sz w:val="24"/>
        </w:rPr>
        <w:t>AB-28 ülkeleri ve Türkiye’nin Perakende Güven E</w:t>
      </w:r>
      <w:r w:rsidR="00ED0A7D" w:rsidRPr="001B070E">
        <w:rPr>
          <w:rFonts w:asciiTheme="minorHAnsi" w:hAnsiTheme="minorHAnsi" w:cs="Arial"/>
          <w:b w:val="0"/>
          <w:color w:val="0070C0"/>
          <w:sz w:val="24"/>
        </w:rPr>
        <w:t xml:space="preserve">ndeksi </w:t>
      </w:r>
      <w:r w:rsidR="00103BD0" w:rsidRPr="001B070E">
        <w:rPr>
          <w:rFonts w:asciiTheme="minorHAnsi" w:hAnsiTheme="minorHAnsi" w:cs="Arial"/>
          <w:b w:val="0"/>
          <w:color w:val="0070C0"/>
          <w:sz w:val="24"/>
        </w:rPr>
        <w:t>de</w:t>
      </w:r>
      <w:r w:rsidR="00A32056" w:rsidRPr="001B070E">
        <w:rPr>
          <w:rFonts w:asciiTheme="minorHAnsi" w:hAnsiTheme="minorHAnsi" w:cs="Arial"/>
          <w:b w:val="0"/>
          <w:color w:val="0070C0"/>
          <w:sz w:val="24"/>
        </w:rPr>
        <w:t>ğ</w:t>
      </w:r>
      <w:r w:rsidR="008A467F" w:rsidRPr="001B070E">
        <w:rPr>
          <w:rFonts w:asciiTheme="minorHAnsi" w:hAnsiTheme="minorHAnsi" w:cs="Arial"/>
          <w:b w:val="0"/>
          <w:color w:val="0070C0"/>
          <w:sz w:val="24"/>
        </w:rPr>
        <w:t xml:space="preserve">erlerine bakıldığında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Malta</w:t>
      </w:r>
      <w:r w:rsidR="0031488B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8A467F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mart</w:t>
      </w:r>
      <w:r w:rsidR="00B428F0" w:rsidRPr="001B070E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66693F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1B070E">
        <w:rPr>
          <w:rFonts w:asciiTheme="minorHAnsi" w:hAnsiTheme="minorHAnsi" w:cs="Arial"/>
          <w:b w:val="0"/>
          <w:color w:val="0070C0"/>
          <w:sz w:val="24"/>
        </w:rPr>
        <w:t>geçen yıla göre en</w:t>
      </w:r>
      <w:r w:rsidR="00ED0A7D" w:rsidRPr="001B070E">
        <w:rPr>
          <w:rFonts w:asciiTheme="minorHAnsi" w:hAnsiTheme="minorHAnsi" w:cs="Arial"/>
          <w:b w:val="0"/>
          <w:color w:val="0070C0"/>
          <w:sz w:val="24"/>
        </w:rPr>
        <w:t xml:space="preserve"> fazla art</w:t>
      </w:r>
      <w:r w:rsidR="00103BD0" w:rsidRPr="001B070E">
        <w:rPr>
          <w:rFonts w:asciiTheme="minorHAnsi" w:hAnsiTheme="minorHAnsi" w:cs="Arial"/>
          <w:b w:val="0"/>
          <w:color w:val="0070C0"/>
          <w:sz w:val="24"/>
        </w:rPr>
        <w:t>ış</w:t>
      </w:r>
      <w:r w:rsidR="00031E91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3A6A30" w:rsidRPr="001B070E">
        <w:rPr>
          <w:rFonts w:asciiTheme="minorHAnsi" w:hAnsiTheme="minorHAnsi" w:cs="Arial"/>
          <w:b w:val="0"/>
          <w:color w:val="0070C0"/>
          <w:sz w:val="24"/>
        </w:rPr>
        <w:t>yaşayan</w:t>
      </w:r>
      <w:r w:rsidR="00031E91" w:rsidRPr="001B070E">
        <w:rPr>
          <w:rFonts w:asciiTheme="minorHAnsi" w:hAnsiTheme="minorHAnsi" w:cs="Arial"/>
          <w:b w:val="0"/>
          <w:color w:val="0070C0"/>
          <w:sz w:val="24"/>
        </w:rPr>
        <w:t xml:space="preserve"> ülke oldu.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Malta</w:t>
      </w:r>
      <w:r w:rsidR="007D42BD" w:rsidRPr="001B070E">
        <w:rPr>
          <w:rFonts w:asciiTheme="minorHAnsi" w:hAnsiTheme="minorHAnsi" w:cs="Arial"/>
          <w:b w:val="0"/>
          <w:color w:val="0070C0"/>
          <w:sz w:val="24"/>
        </w:rPr>
        <w:t>’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y</w:t>
      </w:r>
      <w:r w:rsidR="007D42BD" w:rsidRPr="001B070E">
        <w:rPr>
          <w:rFonts w:asciiTheme="minorHAnsi" w:hAnsiTheme="minorHAnsi" w:cs="Arial"/>
          <w:b w:val="0"/>
          <w:color w:val="0070C0"/>
          <w:sz w:val="24"/>
        </w:rPr>
        <w:t>ı</w:t>
      </w:r>
      <w:r w:rsidR="00BE6AF8" w:rsidRPr="001B070E">
        <w:rPr>
          <w:rFonts w:asciiTheme="minorHAnsi" w:hAnsiTheme="minorHAnsi" w:cs="Arial"/>
          <w:b w:val="0"/>
          <w:color w:val="0070C0"/>
          <w:sz w:val="24"/>
        </w:rPr>
        <w:t>;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Slovenya</w:t>
      </w:r>
      <w:r w:rsidR="00E44499" w:rsidRPr="001B070E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Estonya</w:t>
      </w:r>
      <w:r w:rsidR="00E44499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takip etti.</w:t>
      </w:r>
      <w:r w:rsidR="000F630D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802C1" w:rsidRPr="001B070E">
        <w:rPr>
          <w:rFonts w:asciiTheme="minorHAnsi" w:hAnsiTheme="minorHAnsi" w:cs="Arial"/>
          <w:b w:val="0"/>
          <w:color w:val="0070C0"/>
          <w:sz w:val="24"/>
        </w:rPr>
        <w:t xml:space="preserve">Endeks değeri geçen yıla göre en fazla düşen ülkeler ise </w:t>
      </w:r>
      <w:r w:rsidR="008A467F" w:rsidRPr="001B070E">
        <w:rPr>
          <w:rFonts w:asciiTheme="minorHAnsi" w:hAnsiTheme="minorHAnsi" w:cs="Arial"/>
          <w:b w:val="0"/>
          <w:color w:val="0070C0"/>
          <w:sz w:val="24"/>
        </w:rPr>
        <w:t>sırasıyla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Kıbrıs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İrlanda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D42BD" w:rsidRPr="001B070E">
        <w:rPr>
          <w:rFonts w:asciiTheme="minorHAnsi" w:hAnsiTheme="minorHAnsi" w:cs="Arial"/>
          <w:b w:val="0"/>
          <w:color w:val="0070C0"/>
          <w:sz w:val="24"/>
        </w:rPr>
        <w:t xml:space="preserve">ve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Belçika</w:t>
      </w:r>
      <w:r w:rsidR="002E5EC3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D42BD" w:rsidRPr="001B070E">
        <w:rPr>
          <w:rFonts w:asciiTheme="minorHAnsi" w:hAnsiTheme="minorHAnsi" w:cs="Arial"/>
          <w:b w:val="0"/>
          <w:color w:val="0070C0"/>
          <w:sz w:val="24"/>
        </w:rPr>
        <w:t>o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ldu</w:t>
      </w:r>
      <w:r w:rsidR="005824BC" w:rsidRPr="001B070E">
        <w:rPr>
          <w:rFonts w:asciiTheme="minorHAnsi" w:hAnsiTheme="minorHAnsi" w:cs="Arial"/>
          <w:b w:val="0"/>
          <w:color w:val="0070C0"/>
          <w:sz w:val="24"/>
        </w:rPr>
        <w:t>. Bir önceki aya göre</w:t>
      </w:r>
      <w:r w:rsidR="00FA0611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32EE0" w:rsidRPr="001B070E">
        <w:rPr>
          <w:rFonts w:asciiTheme="minorHAnsi" w:hAnsiTheme="minorHAnsi" w:cs="Arial"/>
          <w:b w:val="0"/>
          <w:color w:val="0070C0"/>
          <w:sz w:val="24"/>
        </w:rPr>
        <w:t>en fazla artış</w:t>
      </w:r>
      <w:r w:rsidR="00EC012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51C3">
        <w:rPr>
          <w:rFonts w:asciiTheme="minorHAnsi" w:hAnsiTheme="minorHAnsi" w:cs="Arial"/>
          <w:b w:val="0"/>
          <w:color w:val="0070C0"/>
          <w:sz w:val="24"/>
        </w:rPr>
        <w:t xml:space="preserve">da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Malta</w:t>
      </w:r>
      <w:r w:rsidR="00CE1575" w:rsidRPr="001B070E">
        <w:rPr>
          <w:rFonts w:asciiTheme="minorHAnsi" w:hAnsiTheme="minorHAnsi" w:cs="Arial"/>
          <w:b w:val="0"/>
          <w:color w:val="0070C0"/>
          <w:sz w:val="24"/>
        </w:rPr>
        <w:t>’da</w:t>
      </w:r>
      <w:r w:rsidR="0072647B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1B070E">
        <w:rPr>
          <w:rFonts w:asciiTheme="minorHAnsi" w:hAnsiTheme="minorHAnsi" w:cs="Arial"/>
          <w:b w:val="0"/>
          <w:color w:val="0070C0"/>
          <w:sz w:val="24"/>
        </w:rPr>
        <w:t>yaşandı</w:t>
      </w:r>
      <w:r w:rsidR="007B04EA" w:rsidRPr="001B070E">
        <w:rPr>
          <w:rFonts w:asciiTheme="minorHAnsi" w:hAnsiTheme="minorHAnsi" w:cs="Arial"/>
          <w:b w:val="0"/>
          <w:color w:val="0070C0"/>
          <w:sz w:val="24"/>
        </w:rPr>
        <w:t>. Perakende Güven Endeksi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nde</w:t>
      </w:r>
      <w:r w:rsidR="001E56AC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EC012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Mart</w:t>
      </w:r>
      <w:r w:rsidR="00CD367D" w:rsidRPr="001B070E">
        <w:rPr>
          <w:rFonts w:asciiTheme="minorHAnsi" w:hAnsiTheme="minorHAnsi" w:cs="Arial"/>
          <w:b w:val="0"/>
          <w:color w:val="0070C0"/>
          <w:sz w:val="24"/>
        </w:rPr>
        <w:t xml:space="preserve"> 2018’</w:t>
      </w:r>
      <w:r w:rsidR="00707318" w:rsidRPr="001B070E">
        <w:rPr>
          <w:rFonts w:asciiTheme="minorHAnsi" w:hAnsiTheme="minorHAnsi" w:cs="Arial"/>
          <w:b w:val="0"/>
          <w:color w:val="0070C0"/>
          <w:sz w:val="24"/>
        </w:rPr>
        <w:t>e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BA22D4" w:rsidRPr="001B070E">
        <w:rPr>
          <w:rFonts w:asciiTheme="minorHAnsi" w:hAnsiTheme="minorHAnsi" w:cs="Arial"/>
          <w:b w:val="0"/>
          <w:color w:val="0070C0"/>
          <w:sz w:val="24"/>
        </w:rPr>
        <w:t xml:space="preserve">değişim 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 xml:space="preserve">AB-28’de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-1,5</w:t>
      </w:r>
      <w:r w:rsidR="00F31643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A22D4" w:rsidRPr="001B070E">
        <w:rPr>
          <w:rFonts w:asciiTheme="minorHAnsi" w:hAnsiTheme="minorHAnsi" w:cs="Arial"/>
          <w:b w:val="0"/>
          <w:color w:val="0070C0"/>
          <w:sz w:val="24"/>
        </w:rPr>
        <w:t xml:space="preserve">puan, </w:t>
      </w:r>
      <w:r w:rsidR="00857AC8" w:rsidRPr="001B070E">
        <w:rPr>
          <w:rFonts w:asciiTheme="minorHAnsi" w:hAnsiTheme="minorHAnsi" w:cs="Arial"/>
          <w:b w:val="0"/>
          <w:color w:val="0070C0"/>
          <w:sz w:val="24"/>
        </w:rPr>
        <w:t xml:space="preserve">Euro Bölgesi’nde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-0,9</w:t>
      </w:r>
      <w:r w:rsidR="00BA22D4" w:rsidRPr="001B070E">
        <w:rPr>
          <w:rFonts w:asciiTheme="minorHAnsi" w:hAnsiTheme="minorHAnsi" w:cs="Arial"/>
          <w:b w:val="0"/>
          <w:color w:val="0070C0"/>
          <w:sz w:val="24"/>
        </w:rPr>
        <w:t xml:space="preserve"> puan oldu.</w:t>
      </w:r>
      <w:r w:rsidR="00207C4F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Şubat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 xml:space="preserve"> 2019</w:t>
      </w:r>
      <w:r w:rsidR="00A557E2" w:rsidRPr="001B070E">
        <w:rPr>
          <w:rFonts w:asciiTheme="minorHAnsi" w:hAnsiTheme="minorHAnsi" w:cs="Arial"/>
          <w:b w:val="0"/>
          <w:color w:val="0070C0"/>
          <w:sz w:val="24"/>
        </w:rPr>
        <w:t>’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>a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göre değ</w:t>
      </w:r>
      <w:r w:rsidR="000C1012" w:rsidRPr="001B070E">
        <w:rPr>
          <w:rFonts w:asciiTheme="minorHAnsi" w:hAnsiTheme="minorHAnsi" w:cs="Arial"/>
          <w:b w:val="0"/>
          <w:color w:val="0070C0"/>
          <w:sz w:val="24"/>
        </w:rPr>
        <w:t>işim inc</w:t>
      </w:r>
      <w:r w:rsidR="007C15E3" w:rsidRPr="001B070E">
        <w:rPr>
          <w:rFonts w:asciiTheme="minorHAnsi" w:hAnsiTheme="minorHAnsi" w:cs="Arial"/>
          <w:b w:val="0"/>
          <w:color w:val="0070C0"/>
          <w:sz w:val="24"/>
        </w:rPr>
        <w:t xml:space="preserve">elendiğinde ise 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>Türkiye’nin</w:t>
      </w:r>
      <w:r w:rsidR="003509FC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00DB9" w:rsidRPr="001B070E">
        <w:rPr>
          <w:rFonts w:asciiTheme="minorHAnsi" w:hAnsiTheme="minorHAnsi" w:cs="Arial"/>
          <w:b w:val="0"/>
          <w:color w:val="0070C0"/>
          <w:sz w:val="24"/>
        </w:rPr>
        <w:t>AB-28</w:t>
      </w:r>
      <w:r w:rsidR="00CD367D" w:rsidRPr="001B070E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D00093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3412E" w:rsidRPr="001B070E">
        <w:rPr>
          <w:rFonts w:asciiTheme="minorHAnsi" w:hAnsiTheme="minorHAnsi" w:cs="Arial"/>
          <w:b w:val="0"/>
          <w:color w:val="0070C0"/>
          <w:sz w:val="24"/>
        </w:rPr>
        <w:t>Euro Bölgesi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>’nden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da</w:t>
      </w:r>
      <w:r w:rsidR="006802C1" w:rsidRPr="001B070E">
        <w:rPr>
          <w:rFonts w:asciiTheme="minorHAnsi" w:hAnsiTheme="minorHAnsi" w:cs="Arial"/>
          <w:b w:val="0"/>
          <w:color w:val="0070C0"/>
          <w:sz w:val="24"/>
        </w:rPr>
        <w:t>h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 xml:space="preserve">a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iyi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performans sergilediği görüldü.</w:t>
      </w:r>
    </w:p>
    <w:p w14:paraId="7CF96872" w14:textId="71FDEF40" w:rsidR="003423F7" w:rsidRDefault="00A52D51" w:rsidP="00C64445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Tablo-6</w:t>
      </w:r>
      <w:r w:rsidR="003423F7" w:rsidRPr="00FE7648">
        <w:rPr>
          <w:rFonts w:asciiTheme="minorHAnsi" w:hAnsiTheme="minorHAnsi"/>
          <w:b/>
        </w:rPr>
        <w:t>.</w:t>
      </w:r>
      <w:r w:rsidR="003423F7" w:rsidRPr="00FE7648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  <w:r w:rsidR="003423F7" w:rsidRPr="00FE7648">
        <w:rPr>
          <w:rFonts w:asciiTheme="minorHAnsi" w:hAnsiTheme="minorHAnsi"/>
        </w:rPr>
        <w:t xml:space="preserve"> Ülkeleri ve Türkiye’nin Perakende Güven Endeksi karşılaştırmaları (</w:t>
      </w:r>
      <w:r w:rsidR="00F3360B">
        <w:rPr>
          <w:rFonts w:asciiTheme="minorHAnsi" w:hAnsiTheme="minorHAnsi"/>
        </w:rPr>
        <w:t>Mart</w:t>
      </w:r>
      <w:r w:rsidR="002C05AE">
        <w:rPr>
          <w:rFonts w:asciiTheme="minorHAnsi" w:hAnsiTheme="minorHAnsi"/>
        </w:rPr>
        <w:t xml:space="preserve"> </w:t>
      </w:r>
      <w:r w:rsidR="00864558">
        <w:rPr>
          <w:rFonts w:asciiTheme="minorHAnsi" w:hAnsiTheme="minorHAnsi"/>
        </w:rPr>
        <w:t>2018</w:t>
      </w:r>
      <w:r w:rsidR="008C07C8">
        <w:rPr>
          <w:rFonts w:asciiTheme="minorHAnsi" w:hAnsiTheme="minorHAnsi"/>
        </w:rPr>
        <w:t xml:space="preserve"> ve </w:t>
      </w:r>
      <w:r w:rsidR="00F3360B">
        <w:rPr>
          <w:rFonts w:asciiTheme="minorHAnsi" w:hAnsiTheme="minorHAnsi"/>
        </w:rPr>
        <w:t>Şubat</w:t>
      </w:r>
      <w:r w:rsidR="0066693F">
        <w:rPr>
          <w:rFonts w:asciiTheme="minorHAnsi" w:hAnsiTheme="minorHAnsi"/>
        </w:rPr>
        <w:t xml:space="preserve"> </w:t>
      </w:r>
      <w:r w:rsidR="00E566A0">
        <w:rPr>
          <w:rFonts w:asciiTheme="minorHAnsi" w:hAnsiTheme="minorHAnsi"/>
        </w:rPr>
        <w:t>201</w:t>
      </w:r>
      <w:r w:rsidR="00C64445">
        <w:rPr>
          <w:rFonts w:asciiTheme="minorHAnsi" w:hAnsiTheme="minorHAnsi"/>
        </w:rPr>
        <w:t>9</w:t>
      </w:r>
      <w:r w:rsidR="003423F7" w:rsidRPr="00FE7648">
        <w:rPr>
          <w:rFonts w:asciiTheme="minorHAnsi" w:hAnsiTheme="minorHAnsi"/>
        </w:rPr>
        <w:t>’</w:t>
      </w:r>
      <w:r w:rsidR="00C64445">
        <w:rPr>
          <w:rFonts w:asciiTheme="minorHAnsi" w:hAnsiTheme="minorHAnsi"/>
        </w:rPr>
        <w:t>a</w:t>
      </w:r>
      <w:r w:rsidR="003423F7" w:rsidRPr="00FE7648">
        <w:rPr>
          <w:rFonts w:asciiTheme="minorHAnsi" w:hAnsiTheme="minorHAnsi"/>
        </w:rPr>
        <w:t xml:space="preserve"> göre) </w:t>
      </w:r>
    </w:p>
    <w:tbl>
      <w:tblPr>
        <w:tblW w:w="9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84"/>
        <w:gridCol w:w="3118"/>
        <w:gridCol w:w="3264"/>
      </w:tblGrid>
      <w:tr w:rsidR="002A6100" w:rsidRPr="002A6100" w14:paraId="51978344" w14:textId="77777777" w:rsidTr="00F3360B">
        <w:trPr>
          <w:trHeight w:val="666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14:paraId="0728DD8C" w14:textId="64504862" w:rsidR="00986DBA" w:rsidRPr="00F3360B" w:rsidRDefault="002A6100" w:rsidP="002A610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</w:pPr>
            <w:r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Ülkeler</w:t>
            </w:r>
            <w:r w:rsidR="00986DBA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45C7E859" w14:textId="5259AEE7" w:rsidR="002A6100" w:rsidRPr="00F3360B" w:rsidRDefault="00F3360B" w:rsidP="00260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</w:pPr>
            <w:r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Mart</w:t>
            </w:r>
            <w:r w:rsidR="00260409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</w:t>
            </w:r>
            <w:r w:rsidR="00920A89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201</w:t>
            </w:r>
            <w:r w:rsidR="00864558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8’</w:t>
            </w:r>
            <w:r w:rsidR="00920A89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e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göre Perakende Güven Endeksi’ndeki Değişim (Puan)**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212989C8" w14:textId="332A21DC" w:rsidR="002A6100" w:rsidRPr="00F3360B" w:rsidRDefault="00F3360B" w:rsidP="00167F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</w:pPr>
            <w:r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Şubat</w:t>
            </w:r>
            <w:r w:rsidR="00DA432A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</w:t>
            </w:r>
            <w:r w:rsidR="00E566A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201</w:t>
            </w:r>
            <w:r w:rsidR="00C64445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9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’</w:t>
            </w:r>
            <w:r w:rsidR="00C64445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a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göre Perake</w:t>
            </w:r>
            <w:r w:rsidR="00864558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nde Güven Endeksi’ndeki Değişim 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(Puan)</w:t>
            </w:r>
          </w:p>
        </w:tc>
      </w:tr>
      <w:tr w:rsidR="003B2E6B" w:rsidRPr="002A6100" w14:paraId="54C7F0C0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C9397BA" w14:textId="49A4CFC0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Malta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530941D" w14:textId="7673981F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22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3AED256" w14:textId="4BA75684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23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8</w:t>
            </w:r>
          </w:p>
        </w:tc>
      </w:tr>
      <w:tr w:rsidR="003B2E6B" w:rsidRPr="002A6100" w14:paraId="0060D5E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56BE8D8" w14:textId="20D6A63A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Slovenya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7D059F1" w14:textId="69D79463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14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F176A96" w14:textId="447B354B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8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0</w:t>
            </w:r>
          </w:p>
        </w:tc>
      </w:tr>
      <w:tr w:rsidR="003B2E6B" w:rsidRPr="0078350D" w14:paraId="2D22580D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DFA0D54" w14:textId="4AE61BC6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Estonya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CDE1B46" w14:textId="4C06D67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5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FC9006F" w14:textId="45F042D0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6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1</w:t>
            </w:r>
          </w:p>
        </w:tc>
      </w:tr>
      <w:tr w:rsidR="003B2E6B" w:rsidRPr="002A6100" w14:paraId="68DB1321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98A744" w14:textId="06AD72B3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Sırbistan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055AC8E" w14:textId="0C4417F0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5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1C976B0" w14:textId="43E023AC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2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3</w:t>
            </w:r>
          </w:p>
        </w:tc>
      </w:tr>
      <w:tr w:rsidR="003B2E6B" w:rsidRPr="002A6100" w14:paraId="4B2FA049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779C6FC" w14:textId="60D64CF0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Yunanistan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5D37DE6" w14:textId="15B99C9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5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D91BDEB" w14:textId="124268A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-5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9</w:t>
            </w:r>
          </w:p>
        </w:tc>
      </w:tr>
      <w:tr w:rsidR="003B2E6B" w:rsidRPr="00C8657D" w14:paraId="3296D8FC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D24E808" w14:textId="15144E3E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Hırvatistan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BE6811B" w14:textId="666546A8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4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4F3A893" w14:textId="02B24E1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4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0</w:t>
            </w:r>
          </w:p>
        </w:tc>
      </w:tr>
      <w:tr w:rsidR="003B2E6B" w:rsidRPr="00F31643" w14:paraId="1DCA1D3F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00EFD42" w14:textId="3695B3DE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Romanya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A16B248" w14:textId="23DBD929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4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3C23DD0" w14:textId="1AEA0648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7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1</w:t>
            </w:r>
          </w:p>
        </w:tc>
      </w:tr>
      <w:tr w:rsidR="003B2E6B" w:rsidRPr="002A6100" w14:paraId="058EFA5E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DD0B4B4" w14:textId="313D6FCD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Danimarka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AB14DC8" w14:textId="52C407E0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4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F01DD2D" w14:textId="4CDA0E4C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4</w:t>
            </w:r>
          </w:p>
        </w:tc>
      </w:tr>
      <w:tr w:rsidR="003B2E6B" w:rsidRPr="002A6100" w14:paraId="1AFB731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92794BB" w14:textId="4E1E8CD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Karadağ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E81A6B1" w14:textId="548A71A9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3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EE4CF8F" w14:textId="0848FB65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2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9</w:t>
            </w:r>
          </w:p>
        </w:tc>
      </w:tr>
      <w:tr w:rsidR="003B2E6B" w:rsidRPr="00C8657D" w14:paraId="59942C9B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B7A5660" w14:textId="2D4823B3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Almanya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F507CBC" w14:textId="3D36F84D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2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DCE2CA9" w14:textId="40D21706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3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1</w:t>
            </w:r>
          </w:p>
        </w:tc>
      </w:tr>
      <w:tr w:rsidR="003B2E6B" w:rsidRPr="002A6100" w14:paraId="6EA6F849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4800EA7" w14:textId="1747660A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Slovakya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FBED610" w14:textId="249D936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2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72702E6" w14:textId="49137A7F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0</w:t>
            </w:r>
          </w:p>
        </w:tc>
      </w:tr>
      <w:tr w:rsidR="003B2E6B" w:rsidRPr="002A6100" w14:paraId="177A21F4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68FF458" w14:textId="408111AE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Makedonya Cumhuriyeti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B9D9622" w14:textId="76BB0450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79558BD" w14:textId="6B641ED6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7</w:t>
            </w:r>
          </w:p>
        </w:tc>
      </w:tr>
      <w:tr w:rsidR="003B2E6B" w:rsidRPr="00A767AC" w14:paraId="5E5F00A7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3755892" w14:textId="7A6F4703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Macaristan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7D3A518" w14:textId="45797775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D714B34" w14:textId="7C33704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3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5</w:t>
            </w:r>
          </w:p>
        </w:tc>
      </w:tr>
      <w:tr w:rsidR="003B2E6B" w:rsidRPr="00091AC2" w14:paraId="34D413AB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DA8DCAF" w14:textId="690E7D63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Bulgaristan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227137E" w14:textId="60FCF7C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023B498" w14:textId="64D5FA47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6</w:t>
            </w:r>
          </w:p>
        </w:tc>
      </w:tr>
      <w:tr w:rsidR="003B2E6B" w:rsidRPr="00260409" w14:paraId="2D5985E6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70368E7" w14:textId="2EB3C56D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Portekiz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8DC4154" w14:textId="1BB1E14F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4C3246E" w14:textId="0B25F9A8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9</w:t>
            </w:r>
          </w:p>
        </w:tc>
      </w:tr>
      <w:tr w:rsidR="003B2E6B" w:rsidRPr="00864558" w14:paraId="2DA0A58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E729EA5" w14:textId="3CFAE86F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İspanya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E3D14D4" w14:textId="295A9BCB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854F0A4" w14:textId="67615386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4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1</w:t>
            </w:r>
          </w:p>
        </w:tc>
      </w:tr>
      <w:tr w:rsidR="003B2E6B" w:rsidRPr="00C64445" w14:paraId="3685BBE8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6FA5594" w14:textId="04BEBD08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color w:val="FF0000"/>
                <w:sz w:val="20"/>
              </w:rPr>
              <w:t>Euro Bölgesi-19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CB1D114" w14:textId="509A2D4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color w:val="FF0000"/>
                <w:sz w:val="20"/>
              </w:rPr>
              <w:t>-0</w:t>
            </w:r>
            <w:r w:rsidR="00F3360B">
              <w:rPr>
                <w:rFonts w:cs="Calibri"/>
                <w:b/>
                <w:bCs/>
                <w:color w:val="FF0000"/>
                <w:sz w:val="20"/>
              </w:rPr>
              <w:t>,</w:t>
            </w:r>
            <w:r w:rsidRPr="00F3360B">
              <w:rPr>
                <w:rFonts w:cs="Calibri"/>
                <w:b/>
                <w:bCs/>
                <w:color w:val="FF0000"/>
                <w:sz w:val="20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CAEBC96" w14:textId="01DFE04F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color w:val="FF0000"/>
                <w:sz w:val="20"/>
              </w:rPr>
              <w:t>1</w:t>
            </w:r>
            <w:r w:rsidR="00F3360B">
              <w:rPr>
                <w:rFonts w:cs="Calibri"/>
                <w:b/>
                <w:bCs/>
                <w:color w:val="FF0000"/>
                <w:sz w:val="20"/>
              </w:rPr>
              <w:t>,</w:t>
            </w:r>
            <w:r w:rsidRPr="00F3360B">
              <w:rPr>
                <w:rFonts w:cs="Calibri"/>
                <w:b/>
                <w:bCs/>
                <w:color w:val="FF0000"/>
                <w:sz w:val="20"/>
              </w:rPr>
              <w:t>5</w:t>
            </w:r>
          </w:p>
        </w:tc>
      </w:tr>
      <w:tr w:rsidR="003B2E6B" w:rsidRPr="00864558" w14:paraId="1B43FEE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3867EF5" w14:textId="024110C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Hollanda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C16861" w14:textId="782217B6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BCE0FE1" w14:textId="15EC77DA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3</w:t>
            </w:r>
          </w:p>
        </w:tc>
      </w:tr>
      <w:tr w:rsidR="003B2E6B" w:rsidRPr="00C64445" w14:paraId="0573A77C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A95FD45" w14:textId="3C2090E0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Litvanya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721F964" w14:textId="4B0E822A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D692315" w14:textId="6A0F3D3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2</w:t>
            </w:r>
          </w:p>
        </w:tc>
      </w:tr>
      <w:tr w:rsidR="003B2E6B" w:rsidRPr="00CE1575" w14:paraId="3F8E4CDE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0ED0522" w14:textId="529B6DB6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color w:val="FF0000"/>
                <w:sz w:val="20"/>
              </w:rPr>
              <w:t>AB-28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FEAAEF5" w14:textId="7E86C048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color w:val="FF0000"/>
                <w:sz w:val="20"/>
              </w:rPr>
              <w:t>-1</w:t>
            </w:r>
            <w:r w:rsidR="00F3360B">
              <w:rPr>
                <w:rFonts w:cs="Calibri"/>
                <w:b/>
                <w:bCs/>
                <w:color w:val="FF0000"/>
                <w:sz w:val="20"/>
              </w:rPr>
              <w:t>,</w:t>
            </w:r>
            <w:r w:rsidRPr="00F3360B">
              <w:rPr>
                <w:rFonts w:cs="Calibri"/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946E364" w14:textId="103346FB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color w:val="FF0000"/>
                <w:sz w:val="20"/>
              </w:rPr>
              <w:t>1</w:t>
            </w:r>
            <w:r w:rsidR="00F3360B">
              <w:rPr>
                <w:rFonts w:cs="Calibri"/>
                <w:b/>
                <w:bCs/>
                <w:color w:val="FF0000"/>
                <w:sz w:val="20"/>
              </w:rPr>
              <w:t>,</w:t>
            </w:r>
            <w:r w:rsidRPr="00F3360B">
              <w:rPr>
                <w:rFonts w:cs="Calibri"/>
                <w:b/>
                <w:bCs/>
                <w:color w:val="FF0000"/>
                <w:sz w:val="20"/>
              </w:rPr>
              <w:t>0</w:t>
            </w:r>
          </w:p>
        </w:tc>
      </w:tr>
      <w:tr w:rsidR="003B2E6B" w:rsidRPr="00864558" w14:paraId="6CEA3E5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127BCCF" w14:textId="07221295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Letonya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C833B12" w14:textId="44CC621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17E14A1" w14:textId="44FD4D2E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4</w:t>
            </w:r>
          </w:p>
        </w:tc>
      </w:tr>
      <w:tr w:rsidR="003B2E6B" w:rsidRPr="005302A3" w14:paraId="7BB4B100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165EE2F" w14:textId="435C1EA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Avusturya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E6F80F9" w14:textId="7C904CAC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6B3D30F" w14:textId="4079692C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8</w:t>
            </w:r>
          </w:p>
        </w:tc>
      </w:tr>
      <w:tr w:rsidR="003B2E6B" w:rsidRPr="00CE7660" w14:paraId="0AE445C6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DF742F0" w14:textId="3324F8D9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İtalya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1CFC76D" w14:textId="6AE9A4B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B22A36C" w14:textId="252FD2A5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5</w:t>
            </w:r>
          </w:p>
        </w:tc>
      </w:tr>
      <w:tr w:rsidR="003B2E6B" w:rsidRPr="009F5872" w14:paraId="26171320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25560BE" w14:textId="33DB2BB8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color w:val="FF0000"/>
                <w:sz w:val="20"/>
              </w:rPr>
              <w:t>Türkiye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06D527B" w14:textId="376D5388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color w:val="FF0000"/>
                <w:sz w:val="20"/>
              </w:rPr>
              <w:t>-2</w:t>
            </w:r>
            <w:r w:rsidR="00F3360B">
              <w:rPr>
                <w:rFonts w:cs="Calibri"/>
                <w:b/>
                <w:bCs/>
                <w:color w:val="FF0000"/>
                <w:sz w:val="20"/>
              </w:rPr>
              <w:t>,</w:t>
            </w:r>
            <w:r w:rsidRPr="00F3360B">
              <w:rPr>
                <w:rFonts w:cs="Calibri"/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D022376" w14:textId="0B83CE05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color w:val="FF0000"/>
                <w:sz w:val="20"/>
              </w:rPr>
              <w:t>6</w:t>
            </w:r>
            <w:r w:rsidR="00F3360B">
              <w:rPr>
                <w:rFonts w:cs="Calibri"/>
                <w:b/>
                <w:bCs/>
                <w:color w:val="FF0000"/>
                <w:sz w:val="20"/>
              </w:rPr>
              <w:t>,</w:t>
            </w:r>
            <w:r w:rsidRPr="00F3360B">
              <w:rPr>
                <w:rFonts w:cs="Calibri"/>
                <w:b/>
                <w:bCs/>
                <w:color w:val="FF0000"/>
                <w:sz w:val="20"/>
              </w:rPr>
              <w:t>7</w:t>
            </w:r>
          </w:p>
        </w:tc>
      </w:tr>
      <w:tr w:rsidR="003B2E6B" w:rsidRPr="00CE7660" w14:paraId="753C93E9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E458160" w14:textId="135BA9B4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Fransa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B81160B" w14:textId="7C73F353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-2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237797E" w14:textId="57F0353C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4</w:t>
            </w:r>
          </w:p>
        </w:tc>
      </w:tr>
      <w:tr w:rsidR="003B2E6B" w:rsidRPr="002A6100" w14:paraId="5FB3DD70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0035A3D" w14:textId="35E1A12A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İngiltere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BA9B519" w14:textId="21A429C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-4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89538E2" w14:textId="5CE2658C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7</w:t>
            </w:r>
          </w:p>
        </w:tc>
      </w:tr>
      <w:tr w:rsidR="003B2E6B" w:rsidRPr="009F5872" w14:paraId="4FE842BF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242F964" w14:textId="1F29831D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Polonya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E6633CA" w14:textId="6CA8AE4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-4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1DDAAA5" w14:textId="78F11DE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6</w:t>
            </w:r>
          </w:p>
        </w:tc>
      </w:tr>
      <w:tr w:rsidR="003B2E6B" w:rsidRPr="002A6100" w14:paraId="20F01F42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C558C2E" w14:textId="28605DAB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İsveç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8EF7EAE" w14:textId="091FA048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-4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6DB9501" w14:textId="522781E9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7</w:t>
            </w:r>
          </w:p>
        </w:tc>
      </w:tr>
      <w:tr w:rsidR="003B2E6B" w:rsidRPr="002A6100" w14:paraId="15E5768F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6EBDCED" w14:textId="1ED89545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Çek Cumhuriyeti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187418C" w14:textId="7E9BEF27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-7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CEA5C59" w14:textId="155E1344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6</w:t>
            </w:r>
          </w:p>
        </w:tc>
      </w:tr>
      <w:tr w:rsidR="003B2E6B" w:rsidRPr="00E44499" w14:paraId="7F713213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75A21F9" w14:textId="4B1F864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Finlandiya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7D62B0C" w14:textId="405712ED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-9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E3E19D1" w14:textId="63EA1759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1</w:t>
            </w:r>
          </w:p>
        </w:tc>
      </w:tr>
      <w:tr w:rsidR="003B2E6B" w:rsidRPr="00C64445" w14:paraId="0F36948F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04342665" w14:textId="59F9A43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Belçika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FB1A0CB" w14:textId="4A99CDD0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C727D1D" w14:textId="1596DFB9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2</w:t>
            </w:r>
          </w:p>
        </w:tc>
      </w:tr>
      <w:tr w:rsidR="003B2E6B" w:rsidRPr="002A6100" w14:paraId="54CB1447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540397F" w14:textId="2288224F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İrlanda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BEA8465" w14:textId="2F30072C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-11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EE5E690" w14:textId="0B708408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-5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9</w:t>
            </w:r>
          </w:p>
        </w:tc>
      </w:tr>
      <w:tr w:rsidR="003B2E6B" w:rsidRPr="002A6100" w14:paraId="1A80F7AC" w14:textId="77777777" w:rsidTr="00C64445">
        <w:trPr>
          <w:trHeight w:val="21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3EB419F8" w14:textId="358AF382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3360B">
              <w:rPr>
                <w:rFonts w:cs="Calibri"/>
                <w:b/>
                <w:bCs/>
                <w:sz w:val="20"/>
              </w:rPr>
              <w:t>Güney Kıbrıs Rum Yönetimi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1E5502E8" w14:textId="07E6D57A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-12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3E5D4085" w14:textId="181E9BF1" w:rsidR="003B2E6B" w:rsidRPr="00F3360B" w:rsidRDefault="003B2E6B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360B">
              <w:rPr>
                <w:rFonts w:cs="Calibri"/>
                <w:sz w:val="20"/>
              </w:rPr>
              <w:t>0</w:t>
            </w:r>
            <w:r w:rsidR="00F3360B">
              <w:rPr>
                <w:rFonts w:cs="Calibri"/>
                <w:sz w:val="20"/>
              </w:rPr>
              <w:t>,</w:t>
            </w:r>
            <w:r w:rsidRPr="00F3360B">
              <w:rPr>
                <w:rFonts w:cs="Calibri"/>
                <w:sz w:val="20"/>
              </w:rPr>
              <w:t>7</w:t>
            </w:r>
          </w:p>
        </w:tc>
      </w:tr>
    </w:tbl>
    <w:p w14:paraId="76F5C25F" w14:textId="56CF54FE" w:rsidR="00986DBA" w:rsidRDefault="00986DBA" w:rsidP="002A6100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>
        <w:rPr>
          <w:rFonts w:asciiTheme="minorHAnsi" w:hAnsiTheme="minorHAnsi" w:cs="Arial"/>
          <w:b/>
          <w:i/>
          <w:sz w:val="18"/>
        </w:rPr>
        <w:t>*</w:t>
      </w:r>
      <w:proofErr w:type="spellStart"/>
      <w:r>
        <w:rPr>
          <w:rFonts w:asciiTheme="minorHAnsi" w:hAnsiTheme="minorHAnsi" w:cs="Arial"/>
          <w:b/>
          <w:i/>
          <w:sz w:val="18"/>
        </w:rPr>
        <w:t>Eurostat</w:t>
      </w:r>
      <w:proofErr w:type="spellEnd"/>
      <w:r>
        <w:rPr>
          <w:rFonts w:asciiTheme="minorHAnsi" w:hAnsiTheme="minorHAnsi" w:cs="Arial"/>
          <w:b/>
          <w:i/>
          <w:sz w:val="18"/>
        </w:rPr>
        <w:t xml:space="preserve"> tarafından Temmuz 2017’den itibaren Makedonya, Karadağ ve Sırbistan da ülke verilerine eklenmiştir.</w:t>
      </w:r>
    </w:p>
    <w:p w14:paraId="1F021695" w14:textId="176B6191" w:rsidR="00494587" w:rsidRPr="00F872CA" w:rsidRDefault="006943C3" w:rsidP="00CE1575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 w:rsidRPr="00F872CA">
        <w:rPr>
          <w:rFonts w:asciiTheme="minorHAnsi" w:hAnsiTheme="minorHAnsi" w:cs="Arial"/>
          <w:b/>
          <w:i/>
          <w:sz w:val="18"/>
        </w:rPr>
        <w:t>*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*Sıralama </w:t>
      </w:r>
      <w:r w:rsidR="00F3360B">
        <w:rPr>
          <w:rFonts w:asciiTheme="minorHAnsi" w:hAnsiTheme="minorHAnsi" w:cs="Arial"/>
          <w:b/>
          <w:i/>
          <w:sz w:val="18"/>
        </w:rPr>
        <w:t>Mart</w:t>
      </w:r>
      <w:r w:rsidR="001608C5">
        <w:rPr>
          <w:rFonts w:asciiTheme="minorHAnsi" w:hAnsiTheme="minorHAnsi" w:cs="Arial"/>
          <w:b/>
          <w:i/>
          <w:sz w:val="18"/>
        </w:rPr>
        <w:t xml:space="preserve"> 2018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 değişimine göre yapılmıştır.</w:t>
      </w:r>
      <w:r w:rsidR="0021322A" w:rsidRPr="00F872CA">
        <w:rPr>
          <w:rFonts w:asciiTheme="minorHAnsi" w:hAnsiTheme="minorHAnsi" w:cs="Arial"/>
          <w:b/>
          <w:i/>
          <w:sz w:val="18"/>
        </w:rPr>
        <w:tab/>
      </w:r>
    </w:p>
    <w:p w14:paraId="2E29024F" w14:textId="77777777" w:rsidR="008866B1" w:rsidRDefault="008866B1" w:rsidP="00714548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764A62AB" w14:textId="32094376" w:rsidR="00201819" w:rsidRPr="001C1C16" w:rsidRDefault="005056DC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1C1C16">
        <w:rPr>
          <w:rFonts w:asciiTheme="minorHAnsi" w:hAnsiTheme="minorHAnsi" w:cs="Arial"/>
          <w:color w:val="0070C0"/>
          <w:sz w:val="28"/>
        </w:rPr>
        <w:t>Konya’da</w:t>
      </w:r>
      <w:r w:rsidR="007B04EA" w:rsidRPr="001C1C16">
        <w:rPr>
          <w:rFonts w:asciiTheme="minorHAnsi" w:hAnsiTheme="minorHAnsi" w:cs="Arial"/>
          <w:color w:val="0070C0"/>
          <w:sz w:val="28"/>
        </w:rPr>
        <w:t xml:space="preserve"> </w:t>
      </w:r>
      <w:r w:rsidRPr="001C1C16">
        <w:rPr>
          <w:rFonts w:asciiTheme="minorHAnsi" w:hAnsiTheme="minorHAnsi" w:cs="Arial"/>
          <w:color w:val="0070C0"/>
          <w:sz w:val="28"/>
        </w:rPr>
        <w:t>p</w:t>
      </w:r>
      <w:r w:rsidR="00201819" w:rsidRPr="001C1C16">
        <w:rPr>
          <w:rFonts w:asciiTheme="minorHAnsi" w:hAnsiTheme="minorHAnsi" w:cs="Arial"/>
          <w:color w:val="0070C0"/>
          <w:sz w:val="28"/>
        </w:rPr>
        <w:t>erakende güveni</w:t>
      </w:r>
      <w:r w:rsidR="00143759" w:rsidRPr="001C1C16">
        <w:rPr>
          <w:rFonts w:asciiTheme="minorHAnsi" w:hAnsiTheme="minorHAnsi" w:cs="Arial"/>
          <w:color w:val="0070C0"/>
          <w:sz w:val="28"/>
        </w:rPr>
        <w:t xml:space="preserve"> </w:t>
      </w:r>
      <w:r w:rsidR="004C0746" w:rsidRPr="001C1C16">
        <w:rPr>
          <w:rFonts w:asciiTheme="minorHAnsi" w:hAnsiTheme="minorHAnsi" w:cs="Arial"/>
          <w:color w:val="0070C0"/>
          <w:sz w:val="28"/>
        </w:rPr>
        <w:t>Türkiye genelinden</w:t>
      </w:r>
      <w:r w:rsidR="0079640E" w:rsidRPr="001C1C16">
        <w:rPr>
          <w:rFonts w:asciiTheme="minorHAnsi" w:hAnsiTheme="minorHAnsi" w:cs="Arial"/>
          <w:color w:val="0070C0"/>
          <w:sz w:val="28"/>
        </w:rPr>
        <w:t xml:space="preserve"> </w:t>
      </w:r>
      <w:r w:rsidR="009B383B" w:rsidRPr="001C1C16">
        <w:rPr>
          <w:rFonts w:asciiTheme="minorHAnsi" w:hAnsiTheme="minorHAnsi" w:cs="Arial"/>
          <w:color w:val="0070C0"/>
          <w:sz w:val="28"/>
        </w:rPr>
        <w:t>daha iyi performans sergiledi</w:t>
      </w:r>
    </w:p>
    <w:p w14:paraId="1EB82F63" w14:textId="77777777" w:rsidR="00201819" w:rsidRPr="001C1C16" w:rsidRDefault="00201819" w:rsidP="00201819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C1C16">
        <w:rPr>
          <w:rFonts w:asciiTheme="minorHAnsi" w:hAnsiTheme="minorHAnsi" w:cs="Arial"/>
          <w:b w:val="0"/>
          <w:color w:val="0070C0"/>
          <w:sz w:val="24"/>
        </w:rPr>
        <w:t>TEPAV ve Konya Ticaret Odası (KTO) işbirliğinde gerçekleştirilen Konya Perakende Güven Endeksi (KOPE) kapsamında</w:t>
      </w:r>
      <w:r w:rsidR="008C1CC7" w:rsidRPr="001C1C16">
        <w:rPr>
          <w:rFonts w:asciiTheme="minorHAnsi" w:hAnsiTheme="minorHAnsi" w:cs="Arial"/>
          <w:b w:val="0"/>
          <w:color w:val="0070C0"/>
          <w:sz w:val="24"/>
        </w:rPr>
        <w:t>,</w:t>
      </w:r>
      <w:r w:rsidRPr="001C1C16">
        <w:rPr>
          <w:rFonts w:asciiTheme="minorHAnsi" w:hAnsiTheme="minorHAnsi" w:cs="Arial"/>
          <w:b w:val="0"/>
          <w:color w:val="0070C0"/>
          <w:sz w:val="24"/>
        </w:rPr>
        <w:t xml:space="preserve"> Şubat 2012’den bu yana Konya’da faaliyet gösteren 300 perakendeci ile her ay yüz yüze anketler yapılıyor.</w:t>
      </w:r>
    </w:p>
    <w:p w14:paraId="1AFEA6C9" w14:textId="73274419" w:rsidR="000C5631" w:rsidRPr="000C5631" w:rsidRDefault="001C1C16" w:rsidP="005D13F9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C1C16">
        <w:rPr>
          <w:rFonts w:asciiTheme="minorHAnsi" w:hAnsiTheme="minorHAnsi" w:cs="Arial"/>
          <w:b w:val="0"/>
          <w:color w:val="0070C0"/>
          <w:sz w:val="24"/>
        </w:rPr>
        <w:t xml:space="preserve">Mart 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>ayında TEPE</w:t>
      </w:r>
      <w:r w:rsidR="0031488B" w:rsidRPr="001C1C16">
        <w:rPr>
          <w:rFonts w:asciiTheme="minorHAnsi" w:hAnsiTheme="minorHAnsi" w:cs="Arial"/>
          <w:b w:val="0"/>
          <w:color w:val="0070C0"/>
          <w:sz w:val="24"/>
        </w:rPr>
        <w:t>,</w:t>
      </w:r>
      <w:r w:rsidR="0085562E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1C1C16">
        <w:rPr>
          <w:rFonts w:asciiTheme="minorHAnsi" w:hAnsiTheme="minorHAnsi" w:cs="Arial"/>
          <w:b w:val="0"/>
          <w:color w:val="0070C0"/>
          <w:sz w:val="24"/>
        </w:rPr>
        <w:t>-15</w:t>
      </w:r>
      <w:r w:rsidR="00476DBA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1C1C16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değerini alırken KOPE </w:t>
      </w:r>
      <w:r w:rsidRPr="001C1C16">
        <w:rPr>
          <w:rFonts w:asciiTheme="minorHAnsi" w:hAnsiTheme="minorHAnsi" w:cs="Arial"/>
          <w:b w:val="0"/>
          <w:color w:val="0070C0"/>
          <w:sz w:val="24"/>
        </w:rPr>
        <w:t>-13,6</w:t>
      </w:r>
      <w:r w:rsidR="00433D72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1C1C16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A3226" w:rsidRPr="001C1C16">
        <w:rPr>
          <w:rFonts w:asciiTheme="minorHAnsi" w:hAnsiTheme="minorHAnsi" w:cs="Arial"/>
          <w:b w:val="0"/>
          <w:color w:val="0070C0"/>
          <w:sz w:val="24"/>
        </w:rPr>
        <w:t>değerini aldı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>. KOPE,</w:t>
      </w:r>
      <w:r w:rsidR="00433D72" w:rsidRPr="001C1C16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 </w:t>
      </w:r>
      <w:r w:rsidRPr="001C1C16">
        <w:rPr>
          <w:rFonts w:asciiTheme="minorHAnsi" w:hAnsiTheme="minorHAnsi" w:cs="Arial"/>
          <w:b w:val="0"/>
          <w:color w:val="0070C0"/>
          <w:sz w:val="24"/>
        </w:rPr>
        <w:t>12,1</w:t>
      </w:r>
      <w:r w:rsidR="002B43B6" w:rsidRPr="001C1C16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6E5604" w:rsidRPr="001C1C16">
        <w:rPr>
          <w:rFonts w:asciiTheme="minorHAnsi" w:hAnsiTheme="minorHAnsi" w:cs="Arial"/>
          <w:b w:val="0"/>
          <w:color w:val="0070C0"/>
          <w:sz w:val="24"/>
        </w:rPr>
        <w:t>;</w:t>
      </w:r>
      <w:r w:rsidR="0003026D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627DD" w:rsidRPr="001C1C16">
        <w:rPr>
          <w:rFonts w:asciiTheme="minorHAnsi" w:hAnsiTheme="minorHAnsi" w:cs="Arial"/>
          <w:b w:val="0"/>
          <w:color w:val="0070C0"/>
          <w:sz w:val="24"/>
        </w:rPr>
        <w:t>TEPE</w:t>
      </w:r>
      <w:r w:rsidR="001967F2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1C1C16">
        <w:rPr>
          <w:rFonts w:asciiTheme="minorHAnsi" w:hAnsiTheme="minorHAnsi" w:cs="Arial"/>
          <w:b w:val="0"/>
          <w:color w:val="0070C0"/>
          <w:sz w:val="24"/>
        </w:rPr>
        <w:t>2,5</w:t>
      </w:r>
      <w:r w:rsidR="004370CA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5D13F9" w:rsidRPr="001C1C16">
        <w:rPr>
          <w:rFonts w:asciiTheme="minorHAnsi" w:hAnsiTheme="minorHAnsi" w:cs="Arial"/>
          <w:b w:val="0"/>
          <w:color w:val="0070C0"/>
          <w:sz w:val="24"/>
        </w:rPr>
        <w:t>azaldı</w:t>
      </w:r>
      <w:r w:rsidR="00B14C5D" w:rsidRPr="001C1C16">
        <w:rPr>
          <w:rFonts w:asciiTheme="minorHAnsi" w:hAnsiTheme="minorHAnsi" w:cs="Arial"/>
          <w:b w:val="0"/>
          <w:color w:val="0070C0"/>
          <w:sz w:val="24"/>
        </w:rPr>
        <w:t>. KOPE değeri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 bir önceki aya göre</w:t>
      </w:r>
      <w:r w:rsidR="00944640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B43B6" w:rsidRPr="001C1C16">
        <w:rPr>
          <w:rFonts w:asciiTheme="minorHAnsi" w:hAnsiTheme="minorHAnsi" w:cs="Arial"/>
          <w:b w:val="0"/>
          <w:color w:val="0070C0"/>
          <w:sz w:val="24"/>
        </w:rPr>
        <w:t>is</w:t>
      </w:r>
      <w:r w:rsidRPr="001C1C16">
        <w:rPr>
          <w:rFonts w:asciiTheme="minorHAnsi" w:hAnsiTheme="minorHAnsi" w:cs="Arial"/>
          <w:b w:val="0"/>
          <w:color w:val="0070C0"/>
          <w:sz w:val="24"/>
        </w:rPr>
        <w:t>e 4,5</w:t>
      </w:r>
      <w:r w:rsidR="001C3C0E" w:rsidRPr="001C1C16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 w:rsidRPr="001C1C16">
        <w:rPr>
          <w:rFonts w:asciiTheme="minorHAnsi" w:hAnsiTheme="minorHAnsi" w:cs="Arial"/>
          <w:b w:val="0"/>
          <w:color w:val="0070C0"/>
          <w:sz w:val="24"/>
        </w:rPr>
        <w:t>rttı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. Konya perakendesi, </w:t>
      </w:r>
      <w:r w:rsidRPr="001C1C16">
        <w:rPr>
          <w:rFonts w:asciiTheme="minorHAnsi" w:hAnsiTheme="minorHAnsi" w:cs="Arial"/>
          <w:b w:val="0"/>
          <w:color w:val="0070C0"/>
          <w:sz w:val="24"/>
        </w:rPr>
        <w:t>mart</w:t>
      </w:r>
      <w:r w:rsidR="002A3226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F627A" w:rsidRPr="001C1C16">
        <w:rPr>
          <w:rFonts w:asciiTheme="minorHAnsi" w:hAnsiTheme="minorHAnsi" w:cs="Arial"/>
          <w:b w:val="0"/>
          <w:color w:val="0070C0"/>
          <w:sz w:val="24"/>
        </w:rPr>
        <w:t xml:space="preserve">ayında </w:t>
      </w:r>
      <w:r w:rsidR="0079640E" w:rsidRPr="001C1C16">
        <w:rPr>
          <w:rFonts w:asciiTheme="minorHAnsi" w:hAnsiTheme="minorHAnsi" w:cs="Arial"/>
          <w:b w:val="0"/>
          <w:color w:val="0070C0"/>
          <w:sz w:val="24"/>
        </w:rPr>
        <w:t>Türkiye geneli</w:t>
      </w:r>
      <w:r w:rsidR="00476DBA" w:rsidRPr="001C1C16">
        <w:rPr>
          <w:rFonts w:asciiTheme="minorHAnsi" w:hAnsiTheme="minorHAnsi" w:cs="Arial"/>
          <w:b w:val="0"/>
          <w:color w:val="0070C0"/>
          <w:sz w:val="24"/>
        </w:rPr>
        <w:t xml:space="preserve">nden daha iyi performans sergilerken, </w:t>
      </w:r>
      <w:r w:rsidR="00E130FA" w:rsidRPr="001C1C16">
        <w:rPr>
          <w:rFonts w:asciiTheme="minorHAnsi" w:hAnsiTheme="minorHAnsi" w:cs="Arial"/>
          <w:b w:val="0"/>
          <w:color w:val="0070C0"/>
          <w:sz w:val="24"/>
        </w:rPr>
        <w:t xml:space="preserve">AB-28’den </w:t>
      </w:r>
      <w:r w:rsidR="00476DBA" w:rsidRPr="001C1C16">
        <w:rPr>
          <w:rFonts w:asciiTheme="minorHAnsi" w:hAnsiTheme="minorHAnsi" w:cs="Arial"/>
          <w:b w:val="0"/>
          <w:color w:val="0070C0"/>
          <w:sz w:val="24"/>
        </w:rPr>
        <w:t xml:space="preserve">daha kötü </w:t>
      </w:r>
      <w:r w:rsidR="0079640E" w:rsidRPr="001C1C16">
        <w:rPr>
          <w:rFonts w:asciiTheme="minorHAnsi" w:hAnsiTheme="minorHAnsi" w:cs="Arial"/>
          <w:b w:val="0"/>
          <w:color w:val="0070C0"/>
          <w:sz w:val="24"/>
        </w:rPr>
        <w:t>performans sergiledi</w:t>
      </w:r>
      <w:r w:rsidR="004E6416" w:rsidRPr="001C1C16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6080E382" w14:textId="71422A4F" w:rsidR="00674767" w:rsidRDefault="00E33DFB" w:rsidP="00D53B7F">
      <w:pPr>
        <w:tabs>
          <w:tab w:val="left" w:pos="8258"/>
        </w:tabs>
        <w:spacing w:before="240" w:after="0"/>
        <w:rPr>
          <w:rFonts w:asciiTheme="minorHAnsi" w:hAnsiTheme="minorHAnsi"/>
        </w:rPr>
      </w:pPr>
      <w:r w:rsidRPr="00A926F0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KOPE, TEPE ile AB-28</w:t>
      </w:r>
      <w:r w:rsidRPr="00A926F0">
        <w:rPr>
          <w:rFonts w:asciiTheme="minorHAnsi" w:hAnsiTheme="minorHAnsi"/>
        </w:rPr>
        <w:t xml:space="preserve"> Perakende Endeksinin karşılaştırılması (</w:t>
      </w:r>
      <w:r w:rsidR="00F3360B">
        <w:rPr>
          <w:rFonts w:asciiTheme="minorHAnsi" w:hAnsiTheme="minorHAnsi"/>
        </w:rPr>
        <w:t>Mart</w:t>
      </w:r>
      <w:r w:rsidR="00D53B7F">
        <w:rPr>
          <w:rFonts w:asciiTheme="minorHAnsi" w:hAnsiTheme="minorHAnsi"/>
        </w:rPr>
        <w:t xml:space="preserve"> 2018</w:t>
      </w:r>
      <w:r w:rsidR="00D53B7F" w:rsidRPr="00662EBC">
        <w:rPr>
          <w:rFonts w:asciiTheme="minorHAnsi" w:hAnsiTheme="minorHAnsi"/>
        </w:rPr>
        <w:t xml:space="preserve"> –</w:t>
      </w:r>
      <w:r w:rsidR="00F3360B">
        <w:rPr>
          <w:rFonts w:asciiTheme="minorHAnsi" w:hAnsiTheme="minorHAnsi"/>
        </w:rPr>
        <w:t xml:space="preserve"> Mart</w:t>
      </w:r>
      <w:r w:rsidR="00D53B7F">
        <w:rPr>
          <w:rFonts w:asciiTheme="minorHAnsi" w:hAnsiTheme="minorHAnsi"/>
        </w:rPr>
        <w:t xml:space="preserve"> 2019</w:t>
      </w:r>
      <w:r w:rsidR="00C24109">
        <w:rPr>
          <w:rFonts w:asciiTheme="minorHAnsi" w:hAnsiTheme="minorHAnsi"/>
        </w:rPr>
        <w:t>)</w:t>
      </w:r>
      <w:r w:rsidR="00D31249" w:rsidRPr="00D31249">
        <w:rPr>
          <w:noProof/>
          <w:lang w:eastAsia="tr-TR"/>
        </w:rPr>
        <w:t xml:space="preserve"> </w:t>
      </w:r>
      <w:r w:rsidR="00F3360B">
        <w:rPr>
          <w:noProof/>
          <w:lang w:eastAsia="tr-TR"/>
        </w:rPr>
        <w:drawing>
          <wp:inline distT="0" distB="0" distL="0" distR="0" wp14:anchorId="33DBF2FE" wp14:editId="27F9183E">
            <wp:extent cx="5759450" cy="2715624"/>
            <wp:effectExtent l="0" t="0" r="12700" b="2794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A4CDCA" w14:textId="77DAC4E3" w:rsidR="00FE22B6" w:rsidRDefault="00FE22B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0C7796E0" w14:textId="77777777" w:rsidR="008A2EB3" w:rsidRDefault="008A2EB3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2E3D6B4" w14:textId="77777777" w:rsidR="00506F76" w:rsidRDefault="00506F7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59B0B498" w14:textId="77777777" w:rsidR="00E33DFB" w:rsidRDefault="00E33DFB" w:rsidP="00E33DFB">
      <w:pPr>
        <w:tabs>
          <w:tab w:val="left" w:pos="8258"/>
        </w:tabs>
        <w:spacing w:after="0"/>
        <w:jc w:val="both"/>
        <w:rPr>
          <w:rFonts w:asciiTheme="minorHAnsi" w:hAnsiTheme="minorHAnsi" w:cs="Arial"/>
          <w:b/>
          <w:szCs w:val="20"/>
        </w:rPr>
      </w:pPr>
      <w:r w:rsidRPr="004222D5">
        <w:rPr>
          <w:rFonts w:asciiTheme="minorHAnsi" w:hAnsiTheme="minorHAnsi"/>
          <w:b/>
        </w:rPr>
        <w:t>Tablo-7.</w:t>
      </w:r>
      <w:r w:rsidRPr="004222D5">
        <w:rPr>
          <w:rFonts w:asciiTheme="minorHAnsi" w:hAnsiTheme="minorHAnsi"/>
        </w:rPr>
        <w:t xml:space="preserve"> Konya Perakende Güven Endeksi</w:t>
      </w:r>
      <w:r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E33DFB" w:rsidRPr="003127E7" w14:paraId="00EDED6B" w14:textId="77777777" w:rsidTr="00B63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6B0D1910" w14:textId="77777777" w:rsidR="00E33DFB" w:rsidRPr="00847C02" w:rsidRDefault="00E33DFB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70875F97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146B0989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695992FA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2C68623B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3B8D2A01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31914786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2D71AD62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7D1549F0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34C26503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20AA026D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352BDD60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6ED8742E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F3360B" w:rsidRPr="00660B7D" w14:paraId="6E9BD2A1" w14:textId="77777777" w:rsidTr="00B40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2B9DA24" w14:textId="3D125319" w:rsidR="00F3360B" w:rsidRPr="00847C02" w:rsidRDefault="00F3360B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6EF280BA" w14:textId="7C18A7E5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-8,5</w:t>
            </w:r>
          </w:p>
        </w:tc>
        <w:tc>
          <w:tcPr>
            <w:tcW w:w="807" w:type="dxa"/>
            <w:noWrap/>
            <w:vAlign w:val="bottom"/>
          </w:tcPr>
          <w:p w14:paraId="68414938" w14:textId="3994677F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-3,1</w:t>
            </w:r>
          </w:p>
        </w:tc>
        <w:tc>
          <w:tcPr>
            <w:tcW w:w="708" w:type="dxa"/>
            <w:noWrap/>
            <w:vAlign w:val="bottom"/>
          </w:tcPr>
          <w:p w14:paraId="2BA2C7AE" w14:textId="4D80DE3A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808" w:type="dxa"/>
            <w:noWrap/>
            <w:vAlign w:val="bottom"/>
          </w:tcPr>
          <w:p w14:paraId="1ED32BFD" w14:textId="46ACB422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-1,3</w:t>
            </w:r>
          </w:p>
        </w:tc>
        <w:tc>
          <w:tcPr>
            <w:tcW w:w="808" w:type="dxa"/>
            <w:noWrap/>
            <w:vAlign w:val="bottom"/>
          </w:tcPr>
          <w:p w14:paraId="264B5138" w14:textId="646FCE11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  <w:tc>
          <w:tcPr>
            <w:tcW w:w="974" w:type="dxa"/>
            <w:noWrap/>
            <w:vAlign w:val="bottom"/>
          </w:tcPr>
          <w:p w14:paraId="32778FAF" w14:textId="54573837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1063" w:type="dxa"/>
            <w:noWrap/>
            <w:vAlign w:val="bottom"/>
          </w:tcPr>
          <w:p w14:paraId="2FD00B36" w14:textId="79E16823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-0,5</w:t>
            </w:r>
          </w:p>
        </w:tc>
        <w:tc>
          <w:tcPr>
            <w:tcW w:w="1052" w:type="dxa"/>
            <w:noWrap/>
            <w:vAlign w:val="bottom"/>
          </w:tcPr>
          <w:p w14:paraId="5B4AD9E7" w14:textId="5803EB59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730" w:type="dxa"/>
            <w:noWrap/>
            <w:vAlign w:val="bottom"/>
          </w:tcPr>
          <w:p w14:paraId="6196511A" w14:textId="2A71C65B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7,4</w:t>
            </w:r>
          </w:p>
        </w:tc>
        <w:tc>
          <w:tcPr>
            <w:tcW w:w="730" w:type="dxa"/>
            <w:noWrap/>
            <w:vAlign w:val="bottom"/>
          </w:tcPr>
          <w:p w14:paraId="5EB238A5" w14:textId="6EFAE840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2,7</w:t>
            </w:r>
          </w:p>
        </w:tc>
        <w:tc>
          <w:tcPr>
            <w:tcW w:w="852" w:type="dxa"/>
            <w:noWrap/>
            <w:vAlign w:val="bottom"/>
          </w:tcPr>
          <w:p w14:paraId="763408DA" w14:textId="423F36C2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808" w:type="dxa"/>
            <w:noWrap/>
            <w:vAlign w:val="bottom"/>
          </w:tcPr>
          <w:p w14:paraId="45447726" w14:textId="281AD6C9" w:rsidR="00F3360B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</w:tr>
      <w:tr w:rsidR="00F3360B" w:rsidRPr="003127E7" w14:paraId="75D74625" w14:textId="77777777" w:rsidTr="00B407A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6AEC64EB" w14:textId="25445519" w:rsidR="00F3360B" w:rsidRPr="00660B7D" w:rsidRDefault="00F3360B" w:rsidP="0024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09E88416" w14:textId="4DAD7581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4,0</w:t>
            </w:r>
          </w:p>
        </w:tc>
        <w:tc>
          <w:tcPr>
            <w:tcW w:w="807" w:type="dxa"/>
            <w:noWrap/>
            <w:vAlign w:val="bottom"/>
          </w:tcPr>
          <w:p w14:paraId="381FE515" w14:textId="14F375EB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708" w:type="dxa"/>
            <w:noWrap/>
            <w:vAlign w:val="bottom"/>
          </w:tcPr>
          <w:p w14:paraId="3AA42D19" w14:textId="151E06E5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-1,5</w:t>
            </w:r>
          </w:p>
        </w:tc>
        <w:tc>
          <w:tcPr>
            <w:tcW w:w="808" w:type="dxa"/>
            <w:noWrap/>
            <w:vAlign w:val="bottom"/>
          </w:tcPr>
          <w:p w14:paraId="4762E316" w14:textId="2DF645C1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-4,1</w:t>
            </w:r>
          </w:p>
        </w:tc>
        <w:tc>
          <w:tcPr>
            <w:tcW w:w="808" w:type="dxa"/>
            <w:noWrap/>
            <w:vAlign w:val="bottom"/>
          </w:tcPr>
          <w:p w14:paraId="37AE9603" w14:textId="0AA7B155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974" w:type="dxa"/>
            <w:noWrap/>
            <w:vAlign w:val="bottom"/>
          </w:tcPr>
          <w:p w14:paraId="3FBDD4D2" w14:textId="72975184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1,1</w:t>
            </w:r>
          </w:p>
        </w:tc>
        <w:tc>
          <w:tcPr>
            <w:tcW w:w="1063" w:type="dxa"/>
            <w:noWrap/>
            <w:vAlign w:val="bottom"/>
          </w:tcPr>
          <w:p w14:paraId="709A4D0F" w14:textId="6EF7175A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3,5</w:t>
            </w:r>
          </w:p>
        </w:tc>
        <w:tc>
          <w:tcPr>
            <w:tcW w:w="1052" w:type="dxa"/>
            <w:noWrap/>
            <w:vAlign w:val="bottom"/>
          </w:tcPr>
          <w:p w14:paraId="6A8B314E" w14:textId="15581991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-1,5</w:t>
            </w:r>
          </w:p>
        </w:tc>
        <w:tc>
          <w:tcPr>
            <w:tcW w:w="730" w:type="dxa"/>
            <w:noWrap/>
            <w:vAlign w:val="bottom"/>
          </w:tcPr>
          <w:p w14:paraId="78EF7D16" w14:textId="0AA271A4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-4,8</w:t>
            </w:r>
          </w:p>
        </w:tc>
        <w:tc>
          <w:tcPr>
            <w:tcW w:w="730" w:type="dxa"/>
            <w:noWrap/>
            <w:vAlign w:val="bottom"/>
          </w:tcPr>
          <w:p w14:paraId="169EA995" w14:textId="14D97D3F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-10,4</w:t>
            </w:r>
          </w:p>
        </w:tc>
        <w:tc>
          <w:tcPr>
            <w:tcW w:w="852" w:type="dxa"/>
            <w:noWrap/>
            <w:vAlign w:val="bottom"/>
          </w:tcPr>
          <w:p w14:paraId="5FDC84E1" w14:textId="6EA6B929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-15,3</w:t>
            </w:r>
          </w:p>
        </w:tc>
        <w:tc>
          <w:tcPr>
            <w:tcW w:w="808" w:type="dxa"/>
            <w:noWrap/>
            <w:vAlign w:val="bottom"/>
          </w:tcPr>
          <w:p w14:paraId="29E29E15" w14:textId="4680C885" w:rsidR="00F3360B" w:rsidRPr="000C5631" w:rsidRDefault="00F3360B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-13,3</w:t>
            </w:r>
          </w:p>
        </w:tc>
      </w:tr>
      <w:tr w:rsidR="00F3360B" w:rsidRPr="003127E7" w14:paraId="338E4BF9" w14:textId="77777777" w:rsidTr="0093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5EAAF452" w14:textId="0FB0E626" w:rsidR="00F3360B" w:rsidRPr="00660B7D" w:rsidRDefault="00F3360B" w:rsidP="00660B7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5F6BE9CB" w14:textId="79D8270E" w:rsidR="00F3360B" w:rsidRPr="000C5631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-16,6</w:t>
            </w:r>
          </w:p>
        </w:tc>
        <w:tc>
          <w:tcPr>
            <w:tcW w:w="807" w:type="dxa"/>
            <w:noWrap/>
            <w:vAlign w:val="bottom"/>
          </w:tcPr>
          <w:p w14:paraId="49F50230" w14:textId="03F711A4" w:rsidR="00F3360B" w:rsidRPr="000C5631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-18,1</w:t>
            </w:r>
          </w:p>
        </w:tc>
        <w:tc>
          <w:tcPr>
            <w:tcW w:w="708" w:type="dxa"/>
            <w:noWrap/>
            <w:vAlign w:val="bottom"/>
          </w:tcPr>
          <w:p w14:paraId="5761C56D" w14:textId="30CD2FDE" w:rsidR="00F3360B" w:rsidRPr="000C5631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-13,6</w:t>
            </w:r>
          </w:p>
        </w:tc>
        <w:tc>
          <w:tcPr>
            <w:tcW w:w="808" w:type="dxa"/>
            <w:noWrap/>
            <w:vAlign w:val="bottom"/>
          </w:tcPr>
          <w:p w14:paraId="5CDFC634" w14:textId="67453BB3" w:rsidR="00F3360B" w:rsidRPr="000C5631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bottom"/>
          </w:tcPr>
          <w:p w14:paraId="0FC3B068" w14:textId="2F764516" w:rsidR="00F3360B" w:rsidRPr="00FC0CDD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974" w:type="dxa"/>
            <w:noWrap/>
            <w:vAlign w:val="bottom"/>
          </w:tcPr>
          <w:p w14:paraId="61532E64" w14:textId="2059C8BA" w:rsidR="00F3360B" w:rsidRPr="00FC0CDD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63" w:type="dxa"/>
            <w:noWrap/>
            <w:vAlign w:val="bottom"/>
          </w:tcPr>
          <w:p w14:paraId="4F279D66" w14:textId="75217A32" w:rsidR="00F3360B" w:rsidRPr="00FC0CDD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52" w:type="dxa"/>
            <w:noWrap/>
            <w:vAlign w:val="bottom"/>
          </w:tcPr>
          <w:p w14:paraId="3DCE418C" w14:textId="3F2E7A95" w:rsidR="00F3360B" w:rsidRPr="00FC0CDD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14:paraId="2CB57C7D" w14:textId="622EF9B5" w:rsidR="00F3360B" w:rsidRPr="00FC0CDD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14:paraId="49759F13" w14:textId="785B5092" w:rsidR="00F3360B" w:rsidRPr="00FC0CDD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52" w:type="dxa"/>
            <w:noWrap/>
            <w:vAlign w:val="bottom"/>
          </w:tcPr>
          <w:p w14:paraId="406489AC" w14:textId="5632DD29" w:rsidR="00F3360B" w:rsidRPr="00FC0CDD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center"/>
          </w:tcPr>
          <w:p w14:paraId="6C02694B" w14:textId="77777777" w:rsidR="00F3360B" w:rsidRPr="00660B7D" w:rsidRDefault="00F3360B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</w:tr>
    </w:tbl>
    <w:p w14:paraId="75054E52" w14:textId="77777777" w:rsidR="00B6558D" w:rsidRDefault="00B6558D" w:rsidP="00124C33">
      <w:pPr>
        <w:jc w:val="center"/>
        <w:rPr>
          <w:rFonts w:asciiTheme="minorHAnsi" w:hAnsiTheme="minorHAnsi" w:cs="Arial"/>
          <w:b/>
          <w:sz w:val="18"/>
        </w:rPr>
      </w:pPr>
    </w:p>
    <w:p w14:paraId="679A88D6" w14:textId="77777777" w:rsidR="00714548" w:rsidRDefault="00714548" w:rsidP="00124C33">
      <w:pPr>
        <w:jc w:val="center"/>
        <w:rPr>
          <w:rFonts w:asciiTheme="minorHAnsi" w:hAnsiTheme="minorHAnsi" w:cs="Arial"/>
          <w:b/>
          <w:sz w:val="18"/>
        </w:rPr>
      </w:pPr>
    </w:p>
    <w:sectPr w:rsidR="00714548" w:rsidSect="00311EB2">
      <w:headerReference w:type="default" r:id="rId15"/>
      <w:footerReference w:type="default" r:id="rId16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E6502" w14:textId="77777777" w:rsidR="006D2DAD" w:rsidRDefault="006D2DAD" w:rsidP="000A02C9">
      <w:pPr>
        <w:spacing w:after="0" w:line="240" w:lineRule="auto"/>
      </w:pPr>
      <w:r>
        <w:separator/>
      </w:r>
    </w:p>
  </w:endnote>
  <w:endnote w:type="continuationSeparator" w:id="0">
    <w:p w14:paraId="2579BBFC" w14:textId="77777777" w:rsidR="006D2DAD" w:rsidRDefault="006D2DAD" w:rsidP="000A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3FB14" w14:textId="77777777" w:rsidR="007945C8" w:rsidRPr="00A4738A" w:rsidRDefault="007945C8" w:rsidP="0084648C">
    <w:pPr>
      <w:pStyle w:val="Altbilgi"/>
      <w:jc w:val="right"/>
      <w:rPr>
        <w:rFonts w:asciiTheme="minorHAnsi" w:hAnsiTheme="minorHAnsi" w:cs="Arial"/>
        <w:b/>
        <w:color w:val="000066"/>
        <w:sz w:val="24"/>
        <w:szCs w:val="24"/>
      </w:rPr>
    </w:pPr>
    <w:r w:rsidRPr="00A4738A">
      <w:rPr>
        <w:rFonts w:asciiTheme="minorHAnsi" w:hAnsiTheme="minorHAnsi" w:cs="Arial"/>
        <w:b/>
        <w:color w:val="000066"/>
        <w:sz w:val="24"/>
        <w:szCs w:val="24"/>
      </w:rPr>
      <w:t>www.tepav.org.tr</w:t>
    </w:r>
    <w:r w:rsidRPr="00A4738A">
      <w:rPr>
        <w:rFonts w:asciiTheme="minorHAnsi" w:hAnsiTheme="minorHAnsi"/>
        <w:b/>
        <w:color w:val="000066"/>
        <w:sz w:val="32"/>
        <w:szCs w:val="32"/>
      </w:rPr>
      <w:t xml:space="preserve"> </w:t>
    </w:r>
    <w:sdt>
      <w:sdtPr>
        <w:rPr>
          <w:rFonts w:asciiTheme="minorHAnsi" w:hAnsiTheme="minorHAnsi" w:cs="Arial"/>
          <w:b/>
          <w:sz w:val="24"/>
          <w:szCs w:val="24"/>
        </w:rPr>
        <w:id w:val="394529"/>
        <w:docPartObj>
          <w:docPartGallery w:val="Page Numbers (Bottom of Page)"/>
          <w:docPartUnique/>
        </w:docPartObj>
      </w:sdtPr>
      <w:sdtEndPr/>
      <w:sdtContent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t xml:space="preserve"> |  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begin"/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instrText xml:space="preserve"> PAGE   \* MERGEFORMAT </w:instrTex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separate"/>
        </w:r>
        <w:r w:rsidR="00E93FF7">
          <w:rPr>
            <w:rFonts w:asciiTheme="minorHAnsi" w:hAnsiTheme="minorHAnsi" w:cs="Arial"/>
            <w:b/>
            <w:noProof/>
            <w:color w:val="000066"/>
            <w:sz w:val="24"/>
            <w:szCs w:val="24"/>
          </w:rPr>
          <w:t>1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end"/>
        </w:r>
      </w:sdtContent>
    </w:sdt>
  </w:p>
  <w:p w14:paraId="1C74026A" w14:textId="77777777" w:rsidR="007945C8" w:rsidRPr="001F13A5" w:rsidRDefault="007945C8" w:rsidP="001F13A5">
    <w:pPr>
      <w:pStyle w:val="Altbilgi"/>
      <w:jc w:val="center"/>
      <w:rPr>
        <w:rFonts w:ascii="Arial Black" w:hAnsi="Arial Black" w:cs="Arial"/>
        <w:b/>
        <w:color w:val="00006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9D3EC" w14:textId="77777777" w:rsidR="006D2DAD" w:rsidRDefault="006D2DAD" w:rsidP="000A02C9">
      <w:pPr>
        <w:spacing w:after="0" w:line="240" w:lineRule="auto"/>
      </w:pPr>
      <w:r>
        <w:separator/>
      </w:r>
    </w:p>
  </w:footnote>
  <w:footnote w:type="continuationSeparator" w:id="0">
    <w:p w14:paraId="26AB3FAF" w14:textId="77777777" w:rsidR="006D2DAD" w:rsidRDefault="006D2DAD" w:rsidP="000A02C9">
      <w:pPr>
        <w:spacing w:after="0" w:line="240" w:lineRule="auto"/>
      </w:pPr>
      <w:r>
        <w:continuationSeparator/>
      </w:r>
    </w:p>
  </w:footnote>
  <w:footnote w:id="1">
    <w:p w14:paraId="49B96D1D" w14:textId="77777777" w:rsidR="007945C8" w:rsidRPr="000C0CAA" w:rsidRDefault="007945C8" w:rsidP="004B440A">
      <w:pPr>
        <w:pStyle w:val="DipnotMetni"/>
        <w:rPr>
          <w:sz w:val="22"/>
          <w:szCs w:val="22"/>
        </w:rPr>
      </w:pPr>
      <w:r w:rsidRPr="000C0CAA">
        <w:rPr>
          <w:rStyle w:val="DipnotBavurusu"/>
          <w:sz w:val="22"/>
          <w:szCs w:val="22"/>
        </w:rPr>
        <w:footnoteRef/>
      </w:r>
      <w:r w:rsidRPr="000C0CAA">
        <w:rPr>
          <w:sz w:val="22"/>
          <w:szCs w:val="22"/>
        </w:rPr>
        <w:t xml:space="preserve"> </w:t>
      </w:r>
      <w:r w:rsidRPr="000C0CAA">
        <w:rPr>
          <w:sz w:val="22"/>
        </w:rPr>
        <w:t>Bültendeki tablolar ve grafikler -aksi belirtilmediği- sürece mevsimsellikten arındırılmış serilere göre hazırlanmıştır.</w:t>
      </w:r>
    </w:p>
    <w:p w14:paraId="699BCE25" w14:textId="77777777" w:rsidR="007945C8" w:rsidRDefault="007945C8">
      <w:pPr>
        <w:pStyle w:val="DipnotMetni"/>
      </w:pPr>
    </w:p>
  </w:footnote>
  <w:footnote w:id="2">
    <w:p w14:paraId="19404EC4" w14:textId="77777777" w:rsidR="007945C8" w:rsidRPr="00F31BC3" w:rsidRDefault="007945C8" w:rsidP="00963B01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Style w:val="DipnotBavurusu"/>
          <w:rFonts w:asciiTheme="minorHAnsi" w:hAnsiTheme="minorHAnsi" w:cs="Arial"/>
          <w:b/>
          <w:sz w:val="24"/>
        </w:rPr>
        <w:footnoteRef/>
      </w:r>
      <w:r w:rsidRPr="00F31BC3">
        <w:rPr>
          <w:rFonts w:asciiTheme="minorHAnsi" w:hAnsiTheme="minorHAnsi" w:cs="Arial"/>
          <w:sz w:val="24"/>
        </w:rPr>
        <w:t xml:space="preserve"> </w:t>
      </w:r>
      <w:r w:rsidRPr="00F31BC3">
        <w:rPr>
          <w:rFonts w:asciiTheme="minorHAnsi" w:hAnsiTheme="minorHAnsi" w:cs="Arial"/>
          <w:szCs w:val="20"/>
        </w:rPr>
        <w:t>Stok düzeyinde pozitif değer stok düzeyinin normalin altında olduğunu ifade etmektedir.</w:t>
      </w:r>
    </w:p>
    <w:p w14:paraId="531A6934" w14:textId="77777777" w:rsidR="007945C8" w:rsidRPr="007F57A7" w:rsidRDefault="007945C8" w:rsidP="00231059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Fonts w:asciiTheme="minorHAnsi" w:hAnsiTheme="minorHAnsi" w:cs="Arial"/>
          <w:b/>
          <w:sz w:val="24"/>
        </w:rPr>
        <w:t xml:space="preserve">  </w:t>
      </w:r>
      <w:r w:rsidRPr="00F31BC3">
        <w:rPr>
          <w:rFonts w:asciiTheme="minorHAnsi" w:hAnsiTheme="minorHAnsi" w:cs="Arial"/>
          <w:szCs w:val="20"/>
        </w:rPr>
        <w:t>Tablo-</w:t>
      </w:r>
      <w:r>
        <w:rPr>
          <w:rFonts w:asciiTheme="minorHAnsi" w:hAnsiTheme="minorHAnsi" w:cs="Arial"/>
          <w:szCs w:val="20"/>
        </w:rPr>
        <w:t>4’de</w:t>
      </w:r>
      <w:r w:rsidRPr="00F31BC3">
        <w:rPr>
          <w:rFonts w:asciiTheme="minorHAnsi" w:hAnsiTheme="minorHAnsi" w:cs="Arial"/>
          <w:szCs w:val="20"/>
        </w:rPr>
        <w:t>ki (-) değerler negatif beklentilerin pozitif beklentilerden fazla olduğunu ifade etmektedir.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91FBF" w14:textId="77777777" w:rsidR="007945C8" w:rsidRDefault="007945C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25FACB9" wp14:editId="2B71D9B3">
          <wp:simplePos x="0" y="0"/>
          <wp:positionH relativeFrom="column">
            <wp:posOffset>-738505</wp:posOffset>
          </wp:positionH>
          <wp:positionV relativeFrom="paragraph">
            <wp:posOffset>-459740</wp:posOffset>
          </wp:positionV>
          <wp:extent cx="7181850" cy="1428750"/>
          <wp:effectExtent l="19050" t="0" r="0" b="0"/>
          <wp:wrapNone/>
          <wp:docPr id="5" name="Picture 3" descr="C:\Users\tepav32\Desktop\ar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pav32\Desktop\ark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157" cy="14321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F3AE10" w14:textId="77777777" w:rsidR="007945C8" w:rsidRDefault="007945C8" w:rsidP="0084648C">
    <w:pPr>
      <w:pStyle w:val="stbilgi"/>
      <w:tabs>
        <w:tab w:val="clear" w:pos="4536"/>
        <w:tab w:val="clear" w:pos="9072"/>
        <w:tab w:val="left" w:pos="659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A41"/>
    <w:multiLevelType w:val="hybridMultilevel"/>
    <w:tmpl w:val="109EF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92C"/>
    <w:multiLevelType w:val="hybridMultilevel"/>
    <w:tmpl w:val="4C94213C"/>
    <w:lvl w:ilvl="0" w:tplc="6FDA752C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="Arial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EEC"/>
    <w:multiLevelType w:val="hybridMultilevel"/>
    <w:tmpl w:val="216C7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512E"/>
    <w:multiLevelType w:val="hybridMultilevel"/>
    <w:tmpl w:val="D654E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hesabı">
    <w15:presenceInfo w15:providerId="Windows Live" w15:userId="23b9440b125600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1B"/>
    <w:rsid w:val="00000332"/>
    <w:rsid w:val="000004C7"/>
    <w:rsid w:val="00000E52"/>
    <w:rsid w:val="00000F70"/>
    <w:rsid w:val="000013F5"/>
    <w:rsid w:val="00001E24"/>
    <w:rsid w:val="00002326"/>
    <w:rsid w:val="00002D15"/>
    <w:rsid w:val="00005802"/>
    <w:rsid w:val="000058C2"/>
    <w:rsid w:val="0000598D"/>
    <w:rsid w:val="00005B42"/>
    <w:rsid w:val="00005CBA"/>
    <w:rsid w:val="00005E28"/>
    <w:rsid w:val="000061BF"/>
    <w:rsid w:val="0000643E"/>
    <w:rsid w:val="000064CE"/>
    <w:rsid w:val="0000663B"/>
    <w:rsid w:val="00006A1B"/>
    <w:rsid w:val="00006B2C"/>
    <w:rsid w:val="000109A9"/>
    <w:rsid w:val="00010A0F"/>
    <w:rsid w:val="00011093"/>
    <w:rsid w:val="00012345"/>
    <w:rsid w:val="00012F8C"/>
    <w:rsid w:val="000131FF"/>
    <w:rsid w:val="00013287"/>
    <w:rsid w:val="000147B1"/>
    <w:rsid w:val="00016584"/>
    <w:rsid w:val="00016A8A"/>
    <w:rsid w:val="00016DC8"/>
    <w:rsid w:val="00017513"/>
    <w:rsid w:val="00017844"/>
    <w:rsid w:val="000178B0"/>
    <w:rsid w:val="00017E87"/>
    <w:rsid w:val="00017F0B"/>
    <w:rsid w:val="0002002B"/>
    <w:rsid w:val="000202A2"/>
    <w:rsid w:val="0002030C"/>
    <w:rsid w:val="00020AE4"/>
    <w:rsid w:val="00020F65"/>
    <w:rsid w:val="000211B4"/>
    <w:rsid w:val="000220B1"/>
    <w:rsid w:val="000222CC"/>
    <w:rsid w:val="00022570"/>
    <w:rsid w:val="0002283B"/>
    <w:rsid w:val="000228E9"/>
    <w:rsid w:val="00022B8B"/>
    <w:rsid w:val="00023FD2"/>
    <w:rsid w:val="000240C9"/>
    <w:rsid w:val="00024393"/>
    <w:rsid w:val="00024745"/>
    <w:rsid w:val="00025C68"/>
    <w:rsid w:val="00026357"/>
    <w:rsid w:val="00027CCB"/>
    <w:rsid w:val="0003017D"/>
    <w:rsid w:val="0003026D"/>
    <w:rsid w:val="000306B6"/>
    <w:rsid w:val="000308D9"/>
    <w:rsid w:val="000308EE"/>
    <w:rsid w:val="00030AD0"/>
    <w:rsid w:val="00030C47"/>
    <w:rsid w:val="00030FEC"/>
    <w:rsid w:val="000313ED"/>
    <w:rsid w:val="000316B9"/>
    <w:rsid w:val="00031E91"/>
    <w:rsid w:val="0003238E"/>
    <w:rsid w:val="00033314"/>
    <w:rsid w:val="00034BF6"/>
    <w:rsid w:val="00034E10"/>
    <w:rsid w:val="00035EC9"/>
    <w:rsid w:val="00035FD3"/>
    <w:rsid w:val="0003612B"/>
    <w:rsid w:val="0003743B"/>
    <w:rsid w:val="00037804"/>
    <w:rsid w:val="00037C13"/>
    <w:rsid w:val="00037D60"/>
    <w:rsid w:val="0004011A"/>
    <w:rsid w:val="0004046A"/>
    <w:rsid w:val="00040CA9"/>
    <w:rsid w:val="00041563"/>
    <w:rsid w:val="00041EE2"/>
    <w:rsid w:val="00042A43"/>
    <w:rsid w:val="00043049"/>
    <w:rsid w:val="00045876"/>
    <w:rsid w:val="000462FF"/>
    <w:rsid w:val="0004664C"/>
    <w:rsid w:val="00046831"/>
    <w:rsid w:val="00050008"/>
    <w:rsid w:val="00050243"/>
    <w:rsid w:val="000509A8"/>
    <w:rsid w:val="00051D0F"/>
    <w:rsid w:val="00052CB6"/>
    <w:rsid w:val="00052F64"/>
    <w:rsid w:val="0005359D"/>
    <w:rsid w:val="00054192"/>
    <w:rsid w:val="000545D1"/>
    <w:rsid w:val="0005489A"/>
    <w:rsid w:val="000549C1"/>
    <w:rsid w:val="000549CC"/>
    <w:rsid w:val="000561FF"/>
    <w:rsid w:val="00056B21"/>
    <w:rsid w:val="00056D09"/>
    <w:rsid w:val="0005752C"/>
    <w:rsid w:val="000577D0"/>
    <w:rsid w:val="00060CF6"/>
    <w:rsid w:val="000613F5"/>
    <w:rsid w:val="000619DF"/>
    <w:rsid w:val="00062231"/>
    <w:rsid w:val="0006224D"/>
    <w:rsid w:val="0006282E"/>
    <w:rsid w:val="000631F6"/>
    <w:rsid w:val="000634D2"/>
    <w:rsid w:val="00063596"/>
    <w:rsid w:val="00063FBE"/>
    <w:rsid w:val="000648F2"/>
    <w:rsid w:val="00064C22"/>
    <w:rsid w:val="00064F70"/>
    <w:rsid w:val="000651EC"/>
    <w:rsid w:val="00065C6C"/>
    <w:rsid w:val="00065EDB"/>
    <w:rsid w:val="00066751"/>
    <w:rsid w:val="0006681E"/>
    <w:rsid w:val="00066857"/>
    <w:rsid w:val="00066FF3"/>
    <w:rsid w:val="00067416"/>
    <w:rsid w:val="000679D2"/>
    <w:rsid w:val="00067E50"/>
    <w:rsid w:val="00070ADB"/>
    <w:rsid w:val="0007132A"/>
    <w:rsid w:val="000728AC"/>
    <w:rsid w:val="00072A23"/>
    <w:rsid w:val="00072ADE"/>
    <w:rsid w:val="00072DB9"/>
    <w:rsid w:val="000743AD"/>
    <w:rsid w:val="000748F2"/>
    <w:rsid w:val="00074D80"/>
    <w:rsid w:val="0007502C"/>
    <w:rsid w:val="000759B7"/>
    <w:rsid w:val="000759D8"/>
    <w:rsid w:val="0007639A"/>
    <w:rsid w:val="000772DA"/>
    <w:rsid w:val="00077625"/>
    <w:rsid w:val="000801E1"/>
    <w:rsid w:val="0008034B"/>
    <w:rsid w:val="000811BE"/>
    <w:rsid w:val="0008152E"/>
    <w:rsid w:val="00081840"/>
    <w:rsid w:val="00081A36"/>
    <w:rsid w:val="00082493"/>
    <w:rsid w:val="00082C2D"/>
    <w:rsid w:val="0008390B"/>
    <w:rsid w:val="000840BB"/>
    <w:rsid w:val="000850F8"/>
    <w:rsid w:val="00087941"/>
    <w:rsid w:val="00090EEA"/>
    <w:rsid w:val="00091946"/>
    <w:rsid w:val="00091AC2"/>
    <w:rsid w:val="000929A6"/>
    <w:rsid w:val="00092B89"/>
    <w:rsid w:val="00093018"/>
    <w:rsid w:val="00095380"/>
    <w:rsid w:val="000955AC"/>
    <w:rsid w:val="0009609B"/>
    <w:rsid w:val="000962A6"/>
    <w:rsid w:val="0009741D"/>
    <w:rsid w:val="00097430"/>
    <w:rsid w:val="000A0099"/>
    <w:rsid w:val="000A00E1"/>
    <w:rsid w:val="000A021C"/>
    <w:rsid w:val="000A02C9"/>
    <w:rsid w:val="000A06FD"/>
    <w:rsid w:val="000A1C92"/>
    <w:rsid w:val="000A1D56"/>
    <w:rsid w:val="000A2B1F"/>
    <w:rsid w:val="000A2F1E"/>
    <w:rsid w:val="000A3A97"/>
    <w:rsid w:val="000A3BC5"/>
    <w:rsid w:val="000A433E"/>
    <w:rsid w:val="000A4815"/>
    <w:rsid w:val="000A510D"/>
    <w:rsid w:val="000A6D12"/>
    <w:rsid w:val="000A79AD"/>
    <w:rsid w:val="000A7E04"/>
    <w:rsid w:val="000B0B21"/>
    <w:rsid w:val="000B0D82"/>
    <w:rsid w:val="000B2AEB"/>
    <w:rsid w:val="000B2B94"/>
    <w:rsid w:val="000B2E04"/>
    <w:rsid w:val="000B3B6E"/>
    <w:rsid w:val="000B3BAB"/>
    <w:rsid w:val="000B4827"/>
    <w:rsid w:val="000B4905"/>
    <w:rsid w:val="000B4D53"/>
    <w:rsid w:val="000B5377"/>
    <w:rsid w:val="000B5B67"/>
    <w:rsid w:val="000B5BB4"/>
    <w:rsid w:val="000B5FC2"/>
    <w:rsid w:val="000B62DE"/>
    <w:rsid w:val="000B66D8"/>
    <w:rsid w:val="000B69E3"/>
    <w:rsid w:val="000B6C29"/>
    <w:rsid w:val="000B72A7"/>
    <w:rsid w:val="000B74B7"/>
    <w:rsid w:val="000B7E2B"/>
    <w:rsid w:val="000C0CAA"/>
    <w:rsid w:val="000C1012"/>
    <w:rsid w:val="000C1D35"/>
    <w:rsid w:val="000C22E7"/>
    <w:rsid w:val="000C4CF2"/>
    <w:rsid w:val="000C4E46"/>
    <w:rsid w:val="000C4F4C"/>
    <w:rsid w:val="000C511A"/>
    <w:rsid w:val="000C5312"/>
    <w:rsid w:val="000C5631"/>
    <w:rsid w:val="000C6451"/>
    <w:rsid w:val="000C69BD"/>
    <w:rsid w:val="000C6E00"/>
    <w:rsid w:val="000C7712"/>
    <w:rsid w:val="000C7923"/>
    <w:rsid w:val="000C7AC2"/>
    <w:rsid w:val="000D0ABF"/>
    <w:rsid w:val="000D0F52"/>
    <w:rsid w:val="000D23C7"/>
    <w:rsid w:val="000D310D"/>
    <w:rsid w:val="000D33BB"/>
    <w:rsid w:val="000D437B"/>
    <w:rsid w:val="000D4387"/>
    <w:rsid w:val="000D541F"/>
    <w:rsid w:val="000D65EB"/>
    <w:rsid w:val="000D79EA"/>
    <w:rsid w:val="000E0162"/>
    <w:rsid w:val="000E0B25"/>
    <w:rsid w:val="000E0BA5"/>
    <w:rsid w:val="000E1D51"/>
    <w:rsid w:val="000E1DCA"/>
    <w:rsid w:val="000E1ECA"/>
    <w:rsid w:val="000E3168"/>
    <w:rsid w:val="000E39FA"/>
    <w:rsid w:val="000E48D8"/>
    <w:rsid w:val="000E5E0A"/>
    <w:rsid w:val="000E6686"/>
    <w:rsid w:val="000E68CC"/>
    <w:rsid w:val="000E6BF4"/>
    <w:rsid w:val="000E738A"/>
    <w:rsid w:val="000E76B9"/>
    <w:rsid w:val="000F3A60"/>
    <w:rsid w:val="000F3CF7"/>
    <w:rsid w:val="000F4822"/>
    <w:rsid w:val="000F50C7"/>
    <w:rsid w:val="000F5817"/>
    <w:rsid w:val="000F5B9D"/>
    <w:rsid w:val="000F5C5E"/>
    <w:rsid w:val="000F630D"/>
    <w:rsid w:val="000F6F08"/>
    <w:rsid w:val="000F71F1"/>
    <w:rsid w:val="000F7D07"/>
    <w:rsid w:val="00102967"/>
    <w:rsid w:val="00102BE3"/>
    <w:rsid w:val="00103BD0"/>
    <w:rsid w:val="00104361"/>
    <w:rsid w:val="00104AD0"/>
    <w:rsid w:val="00104E70"/>
    <w:rsid w:val="00105CCA"/>
    <w:rsid w:val="00105EA8"/>
    <w:rsid w:val="001064DE"/>
    <w:rsid w:val="0010665B"/>
    <w:rsid w:val="00106CDE"/>
    <w:rsid w:val="00107C4D"/>
    <w:rsid w:val="00110376"/>
    <w:rsid w:val="00110771"/>
    <w:rsid w:val="00110D51"/>
    <w:rsid w:val="001116DC"/>
    <w:rsid w:val="001126A0"/>
    <w:rsid w:val="00112FD1"/>
    <w:rsid w:val="00113093"/>
    <w:rsid w:val="001132AA"/>
    <w:rsid w:val="00113A5B"/>
    <w:rsid w:val="00114692"/>
    <w:rsid w:val="00115289"/>
    <w:rsid w:val="0011530F"/>
    <w:rsid w:val="001160D3"/>
    <w:rsid w:val="00116BCE"/>
    <w:rsid w:val="00117448"/>
    <w:rsid w:val="001177B4"/>
    <w:rsid w:val="0011780E"/>
    <w:rsid w:val="00117A75"/>
    <w:rsid w:val="00117C47"/>
    <w:rsid w:val="00120B3B"/>
    <w:rsid w:val="00120B3D"/>
    <w:rsid w:val="0012291F"/>
    <w:rsid w:val="00123131"/>
    <w:rsid w:val="00123C5F"/>
    <w:rsid w:val="0012435E"/>
    <w:rsid w:val="0012451B"/>
    <w:rsid w:val="00124716"/>
    <w:rsid w:val="00124983"/>
    <w:rsid w:val="00124C33"/>
    <w:rsid w:val="00125224"/>
    <w:rsid w:val="001256F4"/>
    <w:rsid w:val="00125FC6"/>
    <w:rsid w:val="00126420"/>
    <w:rsid w:val="00126C27"/>
    <w:rsid w:val="00126F27"/>
    <w:rsid w:val="0013083A"/>
    <w:rsid w:val="00130CC1"/>
    <w:rsid w:val="001317C5"/>
    <w:rsid w:val="001326A7"/>
    <w:rsid w:val="00134330"/>
    <w:rsid w:val="001347DA"/>
    <w:rsid w:val="00134A31"/>
    <w:rsid w:val="00134EF9"/>
    <w:rsid w:val="00134F76"/>
    <w:rsid w:val="00134FAB"/>
    <w:rsid w:val="00134FCE"/>
    <w:rsid w:val="00135956"/>
    <w:rsid w:val="00135A73"/>
    <w:rsid w:val="001361A8"/>
    <w:rsid w:val="001363A1"/>
    <w:rsid w:val="0013782A"/>
    <w:rsid w:val="00137C30"/>
    <w:rsid w:val="0014067C"/>
    <w:rsid w:val="00140B9B"/>
    <w:rsid w:val="00140BC6"/>
    <w:rsid w:val="00140E02"/>
    <w:rsid w:val="001414A0"/>
    <w:rsid w:val="00141576"/>
    <w:rsid w:val="00141A9F"/>
    <w:rsid w:val="0014216D"/>
    <w:rsid w:val="00142BAD"/>
    <w:rsid w:val="00142D4F"/>
    <w:rsid w:val="00143759"/>
    <w:rsid w:val="00144BD0"/>
    <w:rsid w:val="001458B7"/>
    <w:rsid w:val="00145A81"/>
    <w:rsid w:val="00146A5A"/>
    <w:rsid w:val="00146E58"/>
    <w:rsid w:val="00146FE9"/>
    <w:rsid w:val="00147145"/>
    <w:rsid w:val="00147667"/>
    <w:rsid w:val="001479D7"/>
    <w:rsid w:val="00147AFE"/>
    <w:rsid w:val="0015185F"/>
    <w:rsid w:val="00151DD0"/>
    <w:rsid w:val="00152187"/>
    <w:rsid w:val="001521E4"/>
    <w:rsid w:val="00152678"/>
    <w:rsid w:val="00153381"/>
    <w:rsid w:val="0015385A"/>
    <w:rsid w:val="00153D86"/>
    <w:rsid w:val="00154416"/>
    <w:rsid w:val="001546C5"/>
    <w:rsid w:val="001546D4"/>
    <w:rsid w:val="00154727"/>
    <w:rsid w:val="00154B79"/>
    <w:rsid w:val="00157A9B"/>
    <w:rsid w:val="001603A6"/>
    <w:rsid w:val="001608C5"/>
    <w:rsid w:val="0016130B"/>
    <w:rsid w:val="00161846"/>
    <w:rsid w:val="00163E20"/>
    <w:rsid w:val="00164B2A"/>
    <w:rsid w:val="00164EED"/>
    <w:rsid w:val="0016507C"/>
    <w:rsid w:val="00165569"/>
    <w:rsid w:val="00166D2E"/>
    <w:rsid w:val="0016736F"/>
    <w:rsid w:val="00167459"/>
    <w:rsid w:val="0016773F"/>
    <w:rsid w:val="00167F7B"/>
    <w:rsid w:val="00167F8B"/>
    <w:rsid w:val="00170A2F"/>
    <w:rsid w:val="00170AAE"/>
    <w:rsid w:val="00171000"/>
    <w:rsid w:val="001711BE"/>
    <w:rsid w:val="00171283"/>
    <w:rsid w:val="00172743"/>
    <w:rsid w:val="00172AAB"/>
    <w:rsid w:val="001736CC"/>
    <w:rsid w:val="00174328"/>
    <w:rsid w:val="00175E1A"/>
    <w:rsid w:val="00176654"/>
    <w:rsid w:val="00176C69"/>
    <w:rsid w:val="00177148"/>
    <w:rsid w:val="00177468"/>
    <w:rsid w:val="00177B78"/>
    <w:rsid w:val="00177D99"/>
    <w:rsid w:val="00177DB8"/>
    <w:rsid w:val="00180420"/>
    <w:rsid w:val="001804B1"/>
    <w:rsid w:val="00180664"/>
    <w:rsid w:val="001813A3"/>
    <w:rsid w:val="00181768"/>
    <w:rsid w:val="00181AAA"/>
    <w:rsid w:val="00182602"/>
    <w:rsid w:val="001830E2"/>
    <w:rsid w:val="0018351E"/>
    <w:rsid w:val="0018411A"/>
    <w:rsid w:val="001845B6"/>
    <w:rsid w:val="0018473C"/>
    <w:rsid w:val="001848E9"/>
    <w:rsid w:val="00184B69"/>
    <w:rsid w:val="001851A4"/>
    <w:rsid w:val="0018680A"/>
    <w:rsid w:val="00186F84"/>
    <w:rsid w:val="00187026"/>
    <w:rsid w:val="001875AA"/>
    <w:rsid w:val="0018764C"/>
    <w:rsid w:val="00191061"/>
    <w:rsid w:val="001927DD"/>
    <w:rsid w:val="001939A4"/>
    <w:rsid w:val="00193A10"/>
    <w:rsid w:val="00194790"/>
    <w:rsid w:val="00194C19"/>
    <w:rsid w:val="001951E6"/>
    <w:rsid w:val="001953B8"/>
    <w:rsid w:val="00196463"/>
    <w:rsid w:val="001967F2"/>
    <w:rsid w:val="001970B1"/>
    <w:rsid w:val="00197B4F"/>
    <w:rsid w:val="001A055E"/>
    <w:rsid w:val="001A0801"/>
    <w:rsid w:val="001A0876"/>
    <w:rsid w:val="001A0A60"/>
    <w:rsid w:val="001A193B"/>
    <w:rsid w:val="001A26EA"/>
    <w:rsid w:val="001A3097"/>
    <w:rsid w:val="001A3A75"/>
    <w:rsid w:val="001A43CD"/>
    <w:rsid w:val="001A45FE"/>
    <w:rsid w:val="001A47E7"/>
    <w:rsid w:val="001A4BA1"/>
    <w:rsid w:val="001A5C53"/>
    <w:rsid w:val="001A6D17"/>
    <w:rsid w:val="001A7E50"/>
    <w:rsid w:val="001B00C7"/>
    <w:rsid w:val="001B070E"/>
    <w:rsid w:val="001B10F3"/>
    <w:rsid w:val="001B1209"/>
    <w:rsid w:val="001B1CC0"/>
    <w:rsid w:val="001B1EE9"/>
    <w:rsid w:val="001B2115"/>
    <w:rsid w:val="001B4122"/>
    <w:rsid w:val="001B445F"/>
    <w:rsid w:val="001B462E"/>
    <w:rsid w:val="001B46D5"/>
    <w:rsid w:val="001B4C12"/>
    <w:rsid w:val="001B4D5A"/>
    <w:rsid w:val="001B5ADA"/>
    <w:rsid w:val="001B6608"/>
    <w:rsid w:val="001B6B15"/>
    <w:rsid w:val="001B7051"/>
    <w:rsid w:val="001C0281"/>
    <w:rsid w:val="001C030C"/>
    <w:rsid w:val="001C1C16"/>
    <w:rsid w:val="001C1EC9"/>
    <w:rsid w:val="001C2326"/>
    <w:rsid w:val="001C2361"/>
    <w:rsid w:val="001C2AE1"/>
    <w:rsid w:val="001C2D0B"/>
    <w:rsid w:val="001C3A79"/>
    <w:rsid w:val="001C3C0E"/>
    <w:rsid w:val="001C4684"/>
    <w:rsid w:val="001C4848"/>
    <w:rsid w:val="001C698A"/>
    <w:rsid w:val="001C7479"/>
    <w:rsid w:val="001C77BD"/>
    <w:rsid w:val="001D0130"/>
    <w:rsid w:val="001D04CD"/>
    <w:rsid w:val="001D1FD4"/>
    <w:rsid w:val="001D3D96"/>
    <w:rsid w:val="001D4DD2"/>
    <w:rsid w:val="001D4DED"/>
    <w:rsid w:val="001D59D4"/>
    <w:rsid w:val="001D5A84"/>
    <w:rsid w:val="001D6D09"/>
    <w:rsid w:val="001D776D"/>
    <w:rsid w:val="001D7CC4"/>
    <w:rsid w:val="001E13BD"/>
    <w:rsid w:val="001E17E9"/>
    <w:rsid w:val="001E24E6"/>
    <w:rsid w:val="001E56AC"/>
    <w:rsid w:val="001E59BC"/>
    <w:rsid w:val="001E5BF1"/>
    <w:rsid w:val="001E607B"/>
    <w:rsid w:val="001E6221"/>
    <w:rsid w:val="001E627C"/>
    <w:rsid w:val="001E6E24"/>
    <w:rsid w:val="001E709C"/>
    <w:rsid w:val="001E7286"/>
    <w:rsid w:val="001E7334"/>
    <w:rsid w:val="001E741B"/>
    <w:rsid w:val="001E770C"/>
    <w:rsid w:val="001F0942"/>
    <w:rsid w:val="001F107A"/>
    <w:rsid w:val="001F13A5"/>
    <w:rsid w:val="001F16FA"/>
    <w:rsid w:val="001F1918"/>
    <w:rsid w:val="001F196E"/>
    <w:rsid w:val="001F20D3"/>
    <w:rsid w:val="001F3372"/>
    <w:rsid w:val="001F3600"/>
    <w:rsid w:val="001F41B6"/>
    <w:rsid w:val="001F535C"/>
    <w:rsid w:val="001F555A"/>
    <w:rsid w:val="001F591C"/>
    <w:rsid w:val="001F7F2F"/>
    <w:rsid w:val="002001EC"/>
    <w:rsid w:val="00200B3A"/>
    <w:rsid w:val="0020130C"/>
    <w:rsid w:val="00201513"/>
    <w:rsid w:val="00201724"/>
    <w:rsid w:val="00201819"/>
    <w:rsid w:val="002027BB"/>
    <w:rsid w:val="00202874"/>
    <w:rsid w:val="0020296A"/>
    <w:rsid w:val="00202EFA"/>
    <w:rsid w:val="002037C9"/>
    <w:rsid w:val="002043CB"/>
    <w:rsid w:val="00204A20"/>
    <w:rsid w:val="00204E32"/>
    <w:rsid w:val="002056BA"/>
    <w:rsid w:val="002057B1"/>
    <w:rsid w:val="00206BB3"/>
    <w:rsid w:val="00207130"/>
    <w:rsid w:val="00207BDC"/>
    <w:rsid w:val="00207C4F"/>
    <w:rsid w:val="00207CA8"/>
    <w:rsid w:val="00210B35"/>
    <w:rsid w:val="002116E2"/>
    <w:rsid w:val="00211964"/>
    <w:rsid w:val="00211B6B"/>
    <w:rsid w:val="0021265A"/>
    <w:rsid w:val="00212B12"/>
    <w:rsid w:val="00212F65"/>
    <w:rsid w:val="00212FC2"/>
    <w:rsid w:val="00213119"/>
    <w:rsid w:val="0021322A"/>
    <w:rsid w:val="00213556"/>
    <w:rsid w:val="0021378A"/>
    <w:rsid w:val="00214096"/>
    <w:rsid w:val="002142F7"/>
    <w:rsid w:val="002158D0"/>
    <w:rsid w:val="00215CCC"/>
    <w:rsid w:val="00216103"/>
    <w:rsid w:val="0021636C"/>
    <w:rsid w:val="00216821"/>
    <w:rsid w:val="00216EE8"/>
    <w:rsid w:val="00217132"/>
    <w:rsid w:val="002200FE"/>
    <w:rsid w:val="002210A9"/>
    <w:rsid w:val="0022201A"/>
    <w:rsid w:val="00222895"/>
    <w:rsid w:val="00222F83"/>
    <w:rsid w:val="0022377E"/>
    <w:rsid w:val="00223E63"/>
    <w:rsid w:val="00223EB3"/>
    <w:rsid w:val="0022475C"/>
    <w:rsid w:val="00224AFD"/>
    <w:rsid w:val="00224D22"/>
    <w:rsid w:val="00225287"/>
    <w:rsid w:val="002254D4"/>
    <w:rsid w:val="00225980"/>
    <w:rsid w:val="00225BDA"/>
    <w:rsid w:val="00226318"/>
    <w:rsid w:val="00230F59"/>
    <w:rsid w:val="00231059"/>
    <w:rsid w:val="00231A02"/>
    <w:rsid w:val="0023243B"/>
    <w:rsid w:val="00233284"/>
    <w:rsid w:val="00233479"/>
    <w:rsid w:val="00233B3A"/>
    <w:rsid w:val="002342B0"/>
    <w:rsid w:val="00234D98"/>
    <w:rsid w:val="002357B1"/>
    <w:rsid w:val="00235CAA"/>
    <w:rsid w:val="00235E80"/>
    <w:rsid w:val="00236B87"/>
    <w:rsid w:val="00236D8E"/>
    <w:rsid w:val="0023727F"/>
    <w:rsid w:val="002372F8"/>
    <w:rsid w:val="002375CF"/>
    <w:rsid w:val="0023785B"/>
    <w:rsid w:val="002378AE"/>
    <w:rsid w:val="00240B8C"/>
    <w:rsid w:val="00242EBF"/>
    <w:rsid w:val="00243394"/>
    <w:rsid w:val="00243F1E"/>
    <w:rsid w:val="00244325"/>
    <w:rsid w:val="00245086"/>
    <w:rsid w:val="0024595F"/>
    <w:rsid w:val="00245B31"/>
    <w:rsid w:val="0024692F"/>
    <w:rsid w:val="00246A8B"/>
    <w:rsid w:val="00246AA1"/>
    <w:rsid w:val="002477FC"/>
    <w:rsid w:val="00247C70"/>
    <w:rsid w:val="00250893"/>
    <w:rsid w:val="00250A3C"/>
    <w:rsid w:val="002516DF"/>
    <w:rsid w:val="0025186F"/>
    <w:rsid w:val="00253A28"/>
    <w:rsid w:val="002541AC"/>
    <w:rsid w:val="00254B3D"/>
    <w:rsid w:val="00254BD8"/>
    <w:rsid w:val="00254CE8"/>
    <w:rsid w:val="00255556"/>
    <w:rsid w:val="00255F5E"/>
    <w:rsid w:val="0025774F"/>
    <w:rsid w:val="00257942"/>
    <w:rsid w:val="00257D65"/>
    <w:rsid w:val="00260409"/>
    <w:rsid w:val="002607BF"/>
    <w:rsid w:val="00261230"/>
    <w:rsid w:val="00261EB4"/>
    <w:rsid w:val="00262DF2"/>
    <w:rsid w:val="0026352A"/>
    <w:rsid w:val="00263C67"/>
    <w:rsid w:val="00263D9D"/>
    <w:rsid w:val="00264F77"/>
    <w:rsid w:val="00265B7C"/>
    <w:rsid w:val="00265EF7"/>
    <w:rsid w:val="0026656F"/>
    <w:rsid w:val="0026669D"/>
    <w:rsid w:val="00267F56"/>
    <w:rsid w:val="002701B4"/>
    <w:rsid w:val="00270427"/>
    <w:rsid w:val="00270F74"/>
    <w:rsid w:val="002723BD"/>
    <w:rsid w:val="00272760"/>
    <w:rsid w:val="00272AF6"/>
    <w:rsid w:val="0027361E"/>
    <w:rsid w:val="00274133"/>
    <w:rsid w:val="002741B8"/>
    <w:rsid w:val="0027522C"/>
    <w:rsid w:val="00275CE3"/>
    <w:rsid w:val="002764AC"/>
    <w:rsid w:val="00276C43"/>
    <w:rsid w:val="002774E4"/>
    <w:rsid w:val="00277A08"/>
    <w:rsid w:val="00277DF3"/>
    <w:rsid w:val="00277E64"/>
    <w:rsid w:val="00280493"/>
    <w:rsid w:val="00280C6E"/>
    <w:rsid w:val="00280F34"/>
    <w:rsid w:val="00281013"/>
    <w:rsid w:val="00281D62"/>
    <w:rsid w:val="00282589"/>
    <w:rsid w:val="00282938"/>
    <w:rsid w:val="002836D4"/>
    <w:rsid w:val="00283CA7"/>
    <w:rsid w:val="002842EC"/>
    <w:rsid w:val="00284A5B"/>
    <w:rsid w:val="00285787"/>
    <w:rsid w:val="00285F05"/>
    <w:rsid w:val="0028649B"/>
    <w:rsid w:val="00286659"/>
    <w:rsid w:val="002867C9"/>
    <w:rsid w:val="002869BD"/>
    <w:rsid w:val="002875CD"/>
    <w:rsid w:val="002901A8"/>
    <w:rsid w:val="0029026C"/>
    <w:rsid w:val="00290295"/>
    <w:rsid w:val="0029085B"/>
    <w:rsid w:val="00290FB9"/>
    <w:rsid w:val="00291468"/>
    <w:rsid w:val="002917B6"/>
    <w:rsid w:val="00291A22"/>
    <w:rsid w:val="00291E43"/>
    <w:rsid w:val="002942E9"/>
    <w:rsid w:val="002946A7"/>
    <w:rsid w:val="002947B9"/>
    <w:rsid w:val="00294FD3"/>
    <w:rsid w:val="00295554"/>
    <w:rsid w:val="0029621F"/>
    <w:rsid w:val="00297DE5"/>
    <w:rsid w:val="002A018C"/>
    <w:rsid w:val="002A04C6"/>
    <w:rsid w:val="002A1060"/>
    <w:rsid w:val="002A11E5"/>
    <w:rsid w:val="002A1A66"/>
    <w:rsid w:val="002A1BCB"/>
    <w:rsid w:val="002A1F57"/>
    <w:rsid w:val="002A3226"/>
    <w:rsid w:val="002A4177"/>
    <w:rsid w:val="002A43C6"/>
    <w:rsid w:val="002A4C5E"/>
    <w:rsid w:val="002A54D0"/>
    <w:rsid w:val="002A5655"/>
    <w:rsid w:val="002A5DA6"/>
    <w:rsid w:val="002A6100"/>
    <w:rsid w:val="002A64FE"/>
    <w:rsid w:val="002A6B98"/>
    <w:rsid w:val="002A6CCB"/>
    <w:rsid w:val="002A718B"/>
    <w:rsid w:val="002A7314"/>
    <w:rsid w:val="002A779F"/>
    <w:rsid w:val="002B0831"/>
    <w:rsid w:val="002B0A96"/>
    <w:rsid w:val="002B0BB5"/>
    <w:rsid w:val="002B0F70"/>
    <w:rsid w:val="002B169D"/>
    <w:rsid w:val="002B4007"/>
    <w:rsid w:val="002B43B6"/>
    <w:rsid w:val="002B53E4"/>
    <w:rsid w:val="002B59EE"/>
    <w:rsid w:val="002B6343"/>
    <w:rsid w:val="002B6382"/>
    <w:rsid w:val="002C027E"/>
    <w:rsid w:val="002C05AE"/>
    <w:rsid w:val="002C08C9"/>
    <w:rsid w:val="002C0D43"/>
    <w:rsid w:val="002C326B"/>
    <w:rsid w:val="002C33ED"/>
    <w:rsid w:val="002C418D"/>
    <w:rsid w:val="002C67B8"/>
    <w:rsid w:val="002C695C"/>
    <w:rsid w:val="002C729E"/>
    <w:rsid w:val="002C77FF"/>
    <w:rsid w:val="002C78DE"/>
    <w:rsid w:val="002D01CD"/>
    <w:rsid w:val="002D0D50"/>
    <w:rsid w:val="002D0D8E"/>
    <w:rsid w:val="002D1437"/>
    <w:rsid w:val="002D1E9B"/>
    <w:rsid w:val="002D2876"/>
    <w:rsid w:val="002D2C00"/>
    <w:rsid w:val="002D3950"/>
    <w:rsid w:val="002D4592"/>
    <w:rsid w:val="002D4B19"/>
    <w:rsid w:val="002D6457"/>
    <w:rsid w:val="002D6B1F"/>
    <w:rsid w:val="002D6B37"/>
    <w:rsid w:val="002D766C"/>
    <w:rsid w:val="002D7AAC"/>
    <w:rsid w:val="002E0F1E"/>
    <w:rsid w:val="002E1224"/>
    <w:rsid w:val="002E1488"/>
    <w:rsid w:val="002E1F87"/>
    <w:rsid w:val="002E3070"/>
    <w:rsid w:val="002E3F85"/>
    <w:rsid w:val="002E4555"/>
    <w:rsid w:val="002E4B41"/>
    <w:rsid w:val="002E5859"/>
    <w:rsid w:val="002E5EC3"/>
    <w:rsid w:val="002E6E30"/>
    <w:rsid w:val="002E7381"/>
    <w:rsid w:val="002E7B2D"/>
    <w:rsid w:val="002F0937"/>
    <w:rsid w:val="002F13D2"/>
    <w:rsid w:val="002F1C52"/>
    <w:rsid w:val="002F1F5C"/>
    <w:rsid w:val="002F21E5"/>
    <w:rsid w:val="002F2312"/>
    <w:rsid w:val="002F25FD"/>
    <w:rsid w:val="002F2E45"/>
    <w:rsid w:val="002F3C34"/>
    <w:rsid w:val="002F3D33"/>
    <w:rsid w:val="002F4354"/>
    <w:rsid w:val="002F4A9F"/>
    <w:rsid w:val="002F4F75"/>
    <w:rsid w:val="002F56FE"/>
    <w:rsid w:val="002F622E"/>
    <w:rsid w:val="002F6681"/>
    <w:rsid w:val="002F6B25"/>
    <w:rsid w:val="002F7D3B"/>
    <w:rsid w:val="002F7FBC"/>
    <w:rsid w:val="00300B2C"/>
    <w:rsid w:val="0030149A"/>
    <w:rsid w:val="003017D7"/>
    <w:rsid w:val="003026B7"/>
    <w:rsid w:val="003029CC"/>
    <w:rsid w:val="00302ACC"/>
    <w:rsid w:val="00303F79"/>
    <w:rsid w:val="00304BE6"/>
    <w:rsid w:val="00304DDA"/>
    <w:rsid w:val="00305747"/>
    <w:rsid w:val="00307620"/>
    <w:rsid w:val="00310692"/>
    <w:rsid w:val="00311289"/>
    <w:rsid w:val="00311BB1"/>
    <w:rsid w:val="00311C63"/>
    <w:rsid w:val="00311D81"/>
    <w:rsid w:val="00311D92"/>
    <w:rsid w:val="00311EB2"/>
    <w:rsid w:val="003120ED"/>
    <w:rsid w:val="003127E7"/>
    <w:rsid w:val="00312803"/>
    <w:rsid w:val="00312A5F"/>
    <w:rsid w:val="003131D4"/>
    <w:rsid w:val="00313AB1"/>
    <w:rsid w:val="00313B90"/>
    <w:rsid w:val="00314634"/>
    <w:rsid w:val="0031488B"/>
    <w:rsid w:val="00315398"/>
    <w:rsid w:val="00315FDE"/>
    <w:rsid w:val="00317755"/>
    <w:rsid w:val="0032093D"/>
    <w:rsid w:val="00320BF5"/>
    <w:rsid w:val="0032193D"/>
    <w:rsid w:val="00321950"/>
    <w:rsid w:val="003225AC"/>
    <w:rsid w:val="00322BDA"/>
    <w:rsid w:val="0032367E"/>
    <w:rsid w:val="00323CD1"/>
    <w:rsid w:val="00323D1D"/>
    <w:rsid w:val="003243F6"/>
    <w:rsid w:val="00324AEF"/>
    <w:rsid w:val="00324DDC"/>
    <w:rsid w:val="00326820"/>
    <w:rsid w:val="00327443"/>
    <w:rsid w:val="003275E3"/>
    <w:rsid w:val="00327820"/>
    <w:rsid w:val="00327C19"/>
    <w:rsid w:val="00330E61"/>
    <w:rsid w:val="00331DF5"/>
    <w:rsid w:val="00332E3C"/>
    <w:rsid w:val="00333CA0"/>
    <w:rsid w:val="003342DB"/>
    <w:rsid w:val="00336604"/>
    <w:rsid w:val="00337686"/>
    <w:rsid w:val="00340046"/>
    <w:rsid w:val="003406F6"/>
    <w:rsid w:val="00340B7B"/>
    <w:rsid w:val="00340DE6"/>
    <w:rsid w:val="00340EE9"/>
    <w:rsid w:val="0034149F"/>
    <w:rsid w:val="00341B5C"/>
    <w:rsid w:val="00341C73"/>
    <w:rsid w:val="003423F7"/>
    <w:rsid w:val="00343C80"/>
    <w:rsid w:val="00343FEB"/>
    <w:rsid w:val="003456A2"/>
    <w:rsid w:val="00345B19"/>
    <w:rsid w:val="00346335"/>
    <w:rsid w:val="00346833"/>
    <w:rsid w:val="00346A3D"/>
    <w:rsid w:val="0034736F"/>
    <w:rsid w:val="00347734"/>
    <w:rsid w:val="003507A7"/>
    <w:rsid w:val="003509FC"/>
    <w:rsid w:val="00350AEA"/>
    <w:rsid w:val="0035106A"/>
    <w:rsid w:val="00351441"/>
    <w:rsid w:val="00351B96"/>
    <w:rsid w:val="003524F5"/>
    <w:rsid w:val="0035260C"/>
    <w:rsid w:val="00352907"/>
    <w:rsid w:val="00352B5A"/>
    <w:rsid w:val="00352C62"/>
    <w:rsid w:val="00352DDF"/>
    <w:rsid w:val="00353021"/>
    <w:rsid w:val="00354E41"/>
    <w:rsid w:val="0035547C"/>
    <w:rsid w:val="00355591"/>
    <w:rsid w:val="00356970"/>
    <w:rsid w:val="00357A0B"/>
    <w:rsid w:val="00357EFF"/>
    <w:rsid w:val="00360451"/>
    <w:rsid w:val="00360556"/>
    <w:rsid w:val="00360B47"/>
    <w:rsid w:val="003610AE"/>
    <w:rsid w:val="00361E76"/>
    <w:rsid w:val="003628CF"/>
    <w:rsid w:val="003630D5"/>
    <w:rsid w:val="003638A7"/>
    <w:rsid w:val="003647EE"/>
    <w:rsid w:val="003650EB"/>
    <w:rsid w:val="00365127"/>
    <w:rsid w:val="0036594D"/>
    <w:rsid w:val="0036739D"/>
    <w:rsid w:val="00367F72"/>
    <w:rsid w:val="003709AA"/>
    <w:rsid w:val="003722B3"/>
    <w:rsid w:val="00373D99"/>
    <w:rsid w:val="00373E9C"/>
    <w:rsid w:val="00374207"/>
    <w:rsid w:val="00374423"/>
    <w:rsid w:val="003745E9"/>
    <w:rsid w:val="003751B3"/>
    <w:rsid w:val="0037590E"/>
    <w:rsid w:val="0037626A"/>
    <w:rsid w:val="00376A8E"/>
    <w:rsid w:val="0037796A"/>
    <w:rsid w:val="00380173"/>
    <w:rsid w:val="00381D5D"/>
    <w:rsid w:val="00382D64"/>
    <w:rsid w:val="00383196"/>
    <w:rsid w:val="00383A0A"/>
    <w:rsid w:val="00383A76"/>
    <w:rsid w:val="00383AC3"/>
    <w:rsid w:val="00383B69"/>
    <w:rsid w:val="003848FB"/>
    <w:rsid w:val="00385217"/>
    <w:rsid w:val="0038573A"/>
    <w:rsid w:val="003867E2"/>
    <w:rsid w:val="0038696A"/>
    <w:rsid w:val="00387773"/>
    <w:rsid w:val="00390541"/>
    <w:rsid w:val="00391333"/>
    <w:rsid w:val="003917D1"/>
    <w:rsid w:val="00391A8E"/>
    <w:rsid w:val="00391CDB"/>
    <w:rsid w:val="00392137"/>
    <w:rsid w:val="003922B1"/>
    <w:rsid w:val="00392C95"/>
    <w:rsid w:val="00392FC6"/>
    <w:rsid w:val="003931C5"/>
    <w:rsid w:val="00393325"/>
    <w:rsid w:val="00393CF8"/>
    <w:rsid w:val="0039432D"/>
    <w:rsid w:val="00394C94"/>
    <w:rsid w:val="00394E39"/>
    <w:rsid w:val="00394F03"/>
    <w:rsid w:val="0039546D"/>
    <w:rsid w:val="003957D2"/>
    <w:rsid w:val="003973C9"/>
    <w:rsid w:val="003978BA"/>
    <w:rsid w:val="00397FB0"/>
    <w:rsid w:val="003A0E9C"/>
    <w:rsid w:val="003A1365"/>
    <w:rsid w:val="003A27D5"/>
    <w:rsid w:val="003A2915"/>
    <w:rsid w:val="003A2C3B"/>
    <w:rsid w:val="003A2FF3"/>
    <w:rsid w:val="003A347F"/>
    <w:rsid w:val="003A38E2"/>
    <w:rsid w:val="003A4442"/>
    <w:rsid w:val="003A4B7D"/>
    <w:rsid w:val="003A67EF"/>
    <w:rsid w:val="003A6A30"/>
    <w:rsid w:val="003A7725"/>
    <w:rsid w:val="003B0887"/>
    <w:rsid w:val="003B0F9F"/>
    <w:rsid w:val="003B1612"/>
    <w:rsid w:val="003B2A41"/>
    <w:rsid w:val="003B2B9E"/>
    <w:rsid w:val="003B2E6B"/>
    <w:rsid w:val="003B35FD"/>
    <w:rsid w:val="003B44EF"/>
    <w:rsid w:val="003B466B"/>
    <w:rsid w:val="003B4AEA"/>
    <w:rsid w:val="003B50DD"/>
    <w:rsid w:val="003B52D1"/>
    <w:rsid w:val="003B5500"/>
    <w:rsid w:val="003B5535"/>
    <w:rsid w:val="003B57C9"/>
    <w:rsid w:val="003B657C"/>
    <w:rsid w:val="003B6F0B"/>
    <w:rsid w:val="003B6FC8"/>
    <w:rsid w:val="003B786C"/>
    <w:rsid w:val="003C06AA"/>
    <w:rsid w:val="003C1DFD"/>
    <w:rsid w:val="003C28D1"/>
    <w:rsid w:val="003C40BC"/>
    <w:rsid w:val="003C43CA"/>
    <w:rsid w:val="003C47FF"/>
    <w:rsid w:val="003C685F"/>
    <w:rsid w:val="003C6DD5"/>
    <w:rsid w:val="003C6F05"/>
    <w:rsid w:val="003C6F95"/>
    <w:rsid w:val="003C74A1"/>
    <w:rsid w:val="003C775C"/>
    <w:rsid w:val="003C7F5C"/>
    <w:rsid w:val="003D00A8"/>
    <w:rsid w:val="003D06D6"/>
    <w:rsid w:val="003D0F12"/>
    <w:rsid w:val="003D1020"/>
    <w:rsid w:val="003D2358"/>
    <w:rsid w:val="003D2739"/>
    <w:rsid w:val="003D2B4F"/>
    <w:rsid w:val="003D2EBE"/>
    <w:rsid w:val="003D5102"/>
    <w:rsid w:val="003D5544"/>
    <w:rsid w:val="003D6E15"/>
    <w:rsid w:val="003D7767"/>
    <w:rsid w:val="003D77AC"/>
    <w:rsid w:val="003E0619"/>
    <w:rsid w:val="003E0C5C"/>
    <w:rsid w:val="003E185F"/>
    <w:rsid w:val="003E1B49"/>
    <w:rsid w:val="003E1EEB"/>
    <w:rsid w:val="003E1F4D"/>
    <w:rsid w:val="003E2795"/>
    <w:rsid w:val="003E2E4F"/>
    <w:rsid w:val="003E3047"/>
    <w:rsid w:val="003E387F"/>
    <w:rsid w:val="003E42E8"/>
    <w:rsid w:val="003E5DCE"/>
    <w:rsid w:val="003E6F96"/>
    <w:rsid w:val="003F1723"/>
    <w:rsid w:val="003F1935"/>
    <w:rsid w:val="003F1B13"/>
    <w:rsid w:val="003F23BD"/>
    <w:rsid w:val="003F2B09"/>
    <w:rsid w:val="003F34EF"/>
    <w:rsid w:val="003F3D70"/>
    <w:rsid w:val="003F475D"/>
    <w:rsid w:val="003F4C8B"/>
    <w:rsid w:val="003F5305"/>
    <w:rsid w:val="003F6689"/>
    <w:rsid w:val="003F680E"/>
    <w:rsid w:val="003F72E6"/>
    <w:rsid w:val="003F734B"/>
    <w:rsid w:val="003F77CC"/>
    <w:rsid w:val="004000ED"/>
    <w:rsid w:val="00401248"/>
    <w:rsid w:val="00401404"/>
    <w:rsid w:val="00401DF7"/>
    <w:rsid w:val="00401EEB"/>
    <w:rsid w:val="0040215A"/>
    <w:rsid w:val="00402DDA"/>
    <w:rsid w:val="00403468"/>
    <w:rsid w:val="00403A83"/>
    <w:rsid w:val="0040475D"/>
    <w:rsid w:val="004050FD"/>
    <w:rsid w:val="004054DA"/>
    <w:rsid w:val="004055CD"/>
    <w:rsid w:val="00405993"/>
    <w:rsid w:val="004061F4"/>
    <w:rsid w:val="00406C01"/>
    <w:rsid w:val="004071D9"/>
    <w:rsid w:val="00410F93"/>
    <w:rsid w:val="00411A52"/>
    <w:rsid w:val="00411C8D"/>
    <w:rsid w:val="00412160"/>
    <w:rsid w:val="00412822"/>
    <w:rsid w:val="00412C0D"/>
    <w:rsid w:val="004146A2"/>
    <w:rsid w:val="00415207"/>
    <w:rsid w:val="004153FB"/>
    <w:rsid w:val="00415D07"/>
    <w:rsid w:val="00416714"/>
    <w:rsid w:val="00417300"/>
    <w:rsid w:val="00417976"/>
    <w:rsid w:val="00420055"/>
    <w:rsid w:val="00420A19"/>
    <w:rsid w:val="00420A6A"/>
    <w:rsid w:val="00420FF9"/>
    <w:rsid w:val="0042116D"/>
    <w:rsid w:val="00421579"/>
    <w:rsid w:val="004222D5"/>
    <w:rsid w:val="00422E2A"/>
    <w:rsid w:val="00422ED8"/>
    <w:rsid w:val="00423801"/>
    <w:rsid w:val="00423C71"/>
    <w:rsid w:val="00423CB6"/>
    <w:rsid w:val="00423DC0"/>
    <w:rsid w:val="00426D8C"/>
    <w:rsid w:val="00427719"/>
    <w:rsid w:val="00427826"/>
    <w:rsid w:val="004279CD"/>
    <w:rsid w:val="00427A26"/>
    <w:rsid w:val="00427CD7"/>
    <w:rsid w:val="00431953"/>
    <w:rsid w:val="0043217E"/>
    <w:rsid w:val="00432651"/>
    <w:rsid w:val="00432B28"/>
    <w:rsid w:val="00432CA2"/>
    <w:rsid w:val="0043314B"/>
    <w:rsid w:val="00433A4C"/>
    <w:rsid w:val="00433D72"/>
    <w:rsid w:val="004340FE"/>
    <w:rsid w:val="00434B99"/>
    <w:rsid w:val="00436251"/>
    <w:rsid w:val="004364FA"/>
    <w:rsid w:val="00436AA2"/>
    <w:rsid w:val="00436DBD"/>
    <w:rsid w:val="004370CA"/>
    <w:rsid w:val="004370D4"/>
    <w:rsid w:val="00437362"/>
    <w:rsid w:val="00440D43"/>
    <w:rsid w:val="004420FC"/>
    <w:rsid w:val="0044225D"/>
    <w:rsid w:val="00442AE4"/>
    <w:rsid w:val="004433D8"/>
    <w:rsid w:val="00443FE3"/>
    <w:rsid w:val="00444031"/>
    <w:rsid w:val="00444836"/>
    <w:rsid w:val="004468CE"/>
    <w:rsid w:val="00446BA9"/>
    <w:rsid w:val="00446E2C"/>
    <w:rsid w:val="00450639"/>
    <w:rsid w:val="00450C66"/>
    <w:rsid w:val="004510BE"/>
    <w:rsid w:val="00451173"/>
    <w:rsid w:val="004515AE"/>
    <w:rsid w:val="00451FA5"/>
    <w:rsid w:val="00452338"/>
    <w:rsid w:val="0045273B"/>
    <w:rsid w:val="00453168"/>
    <w:rsid w:val="00454923"/>
    <w:rsid w:val="00455B61"/>
    <w:rsid w:val="00456465"/>
    <w:rsid w:val="00456C3A"/>
    <w:rsid w:val="00457618"/>
    <w:rsid w:val="004600F3"/>
    <w:rsid w:val="004606A6"/>
    <w:rsid w:val="004627DD"/>
    <w:rsid w:val="00462D42"/>
    <w:rsid w:val="00462FFA"/>
    <w:rsid w:val="004633FF"/>
    <w:rsid w:val="00464A3B"/>
    <w:rsid w:val="00464E0F"/>
    <w:rsid w:val="004658B9"/>
    <w:rsid w:val="0046591E"/>
    <w:rsid w:val="00465B0A"/>
    <w:rsid w:val="004664D2"/>
    <w:rsid w:val="00466586"/>
    <w:rsid w:val="004665DB"/>
    <w:rsid w:val="004666B7"/>
    <w:rsid w:val="00466997"/>
    <w:rsid w:val="00467839"/>
    <w:rsid w:val="00467EFD"/>
    <w:rsid w:val="00467F0D"/>
    <w:rsid w:val="004704ED"/>
    <w:rsid w:val="00470685"/>
    <w:rsid w:val="004710B3"/>
    <w:rsid w:val="00471833"/>
    <w:rsid w:val="00471D33"/>
    <w:rsid w:val="00472336"/>
    <w:rsid w:val="0047262C"/>
    <w:rsid w:val="0047323D"/>
    <w:rsid w:val="00473C76"/>
    <w:rsid w:val="004746A6"/>
    <w:rsid w:val="00475590"/>
    <w:rsid w:val="00475C1C"/>
    <w:rsid w:val="00476197"/>
    <w:rsid w:val="00476479"/>
    <w:rsid w:val="00476CA6"/>
    <w:rsid w:val="00476DBA"/>
    <w:rsid w:val="004772E7"/>
    <w:rsid w:val="00477447"/>
    <w:rsid w:val="0048179B"/>
    <w:rsid w:val="00482CA2"/>
    <w:rsid w:val="00482F60"/>
    <w:rsid w:val="00484209"/>
    <w:rsid w:val="0048421A"/>
    <w:rsid w:val="00484389"/>
    <w:rsid w:val="0048474B"/>
    <w:rsid w:val="00484C92"/>
    <w:rsid w:val="00484F69"/>
    <w:rsid w:val="004851C9"/>
    <w:rsid w:val="00485507"/>
    <w:rsid w:val="00485EDE"/>
    <w:rsid w:val="00485F3D"/>
    <w:rsid w:val="00485F71"/>
    <w:rsid w:val="00485FC8"/>
    <w:rsid w:val="00486DA6"/>
    <w:rsid w:val="0048717B"/>
    <w:rsid w:val="0049105E"/>
    <w:rsid w:val="00491CA1"/>
    <w:rsid w:val="004926E8"/>
    <w:rsid w:val="00492B1F"/>
    <w:rsid w:val="00492D40"/>
    <w:rsid w:val="00493690"/>
    <w:rsid w:val="004936AA"/>
    <w:rsid w:val="00493711"/>
    <w:rsid w:val="00493815"/>
    <w:rsid w:val="00493EB2"/>
    <w:rsid w:val="00493EBC"/>
    <w:rsid w:val="00493F70"/>
    <w:rsid w:val="00494587"/>
    <w:rsid w:val="004946CD"/>
    <w:rsid w:val="00494B32"/>
    <w:rsid w:val="004965F8"/>
    <w:rsid w:val="00496672"/>
    <w:rsid w:val="0049678B"/>
    <w:rsid w:val="00497010"/>
    <w:rsid w:val="0049719F"/>
    <w:rsid w:val="00497C9F"/>
    <w:rsid w:val="004A02C2"/>
    <w:rsid w:val="004A073A"/>
    <w:rsid w:val="004A087B"/>
    <w:rsid w:val="004A098C"/>
    <w:rsid w:val="004A15CD"/>
    <w:rsid w:val="004A19EF"/>
    <w:rsid w:val="004A1E33"/>
    <w:rsid w:val="004A1F04"/>
    <w:rsid w:val="004A23D1"/>
    <w:rsid w:val="004A2844"/>
    <w:rsid w:val="004A2D1C"/>
    <w:rsid w:val="004A305D"/>
    <w:rsid w:val="004A42A9"/>
    <w:rsid w:val="004A443A"/>
    <w:rsid w:val="004A569A"/>
    <w:rsid w:val="004A57F1"/>
    <w:rsid w:val="004A595F"/>
    <w:rsid w:val="004A6723"/>
    <w:rsid w:val="004A6FDD"/>
    <w:rsid w:val="004A72C2"/>
    <w:rsid w:val="004A740E"/>
    <w:rsid w:val="004B161D"/>
    <w:rsid w:val="004B1E22"/>
    <w:rsid w:val="004B204B"/>
    <w:rsid w:val="004B2D78"/>
    <w:rsid w:val="004B310B"/>
    <w:rsid w:val="004B36D0"/>
    <w:rsid w:val="004B3874"/>
    <w:rsid w:val="004B3E67"/>
    <w:rsid w:val="004B4167"/>
    <w:rsid w:val="004B422F"/>
    <w:rsid w:val="004B440A"/>
    <w:rsid w:val="004B4AC7"/>
    <w:rsid w:val="004B4C95"/>
    <w:rsid w:val="004B5A15"/>
    <w:rsid w:val="004B6344"/>
    <w:rsid w:val="004B74F3"/>
    <w:rsid w:val="004B7D0E"/>
    <w:rsid w:val="004C0746"/>
    <w:rsid w:val="004C07BD"/>
    <w:rsid w:val="004C0C26"/>
    <w:rsid w:val="004C1234"/>
    <w:rsid w:val="004C13A5"/>
    <w:rsid w:val="004C13F5"/>
    <w:rsid w:val="004C2044"/>
    <w:rsid w:val="004C2118"/>
    <w:rsid w:val="004C34D1"/>
    <w:rsid w:val="004C5521"/>
    <w:rsid w:val="004C5E29"/>
    <w:rsid w:val="004C63E6"/>
    <w:rsid w:val="004C6468"/>
    <w:rsid w:val="004C75D2"/>
    <w:rsid w:val="004C789C"/>
    <w:rsid w:val="004D0EA5"/>
    <w:rsid w:val="004D1447"/>
    <w:rsid w:val="004D1626"/>
    <w:rsid w:val="004D1D32"/>
    <w:rsid w:val="004D3003"/>
    <w:rsid w:val="004D37C7"/>
    <w:rsid w:val="004D3B98"/>
    <w:rsid w:val="004D42C0"/>
    <w:rsid w:val="004D42CE"/>
    <w:rsid w:val="004D452E"/>
    <w:rsid w:val="004D46EF"/>
    <w:rsid w:val="004D554A"/>
    <w:rsid w:val="004D589F"/>
    <w:rsid w:val="004D590F"/>
    <w:rsid w:val="004D5CAB"/>
    <w:rsid w:val="004D6337"/>
    <w:rsid w:val="004D6CC8"/>
    <w:rsid w:val="004D71FF"/>
    <w:rsid w:val="004D7257"/>
    <w:rsid w:val="004E10CE"/>
    <w:rsid w:val="004E116A"/>
    <w:rsid w:val="004E22D7"/>
    <w:rsid w:val="004E2CB9"/>
    <w:rsid w:val="004E2DE7"/>
    <w:rsid w:val="004E4165"/>
    <w:rsid w:val="004E4410"/>
    <w:rsid w:val="004E5244"/>
    <w:rsid w:val="004E532B"/>
    <w:rsid w:val="004E5B6A"/>
    <w:rsid w:val="004E5E15"/>
    <w:rsid w:val="004E6416"/>
    <w:rsid w:val="004E6785"/>
    <w:rsid w:val="004E6B51"/>
    <w:rsid w:val="004E6DD3"/>
    <w:rsid w:val="004E7C3B"/>
    <w:rsid w:val="004E7CF9"/>
    <w:rsid w:val="004F135D"/>
    <w:rsid w:val="004F1AAC"/>
    <w:rsid w:val="004F26D8"/>
    <w:rsid w:val="004F2AD0"/>
    <w:rsid w:val="004F311F"/>
    <w:rsid w:val="004F327D"/>
    <w:rsid w:val="004F3664"/>
    <w:rsid w:val="004F39C6"/>
    <w:rsid w:val="004F4C20"/>
    <w:rsid w:val="004F52B6"/>
    <w:rsid w:val="004F7113"/>
    <w:rsid w:val="004F750E"/>
    <w:rsid w:val="004F7EBC"/>
    <w:rsid w:val="00500244"/>
    <w:rsid w:val="00500643"/>
    <w:rsid w:val="00502FBE"/>
    <w:rsid w:val="00504026"/>
    <w:rsid w:val="00504538"/>
    <w:rsid w:val="005053A3"/>
    <w:rsid w:val="005056DC"/>
    <w:rsid w:val="00506535"/>
    <w:rsid w:val="00506F76"/>
    <w:rsid w:val="00510DDE"/>
    <w:rsid w:val="00512810"/>
    <w:rsid w:val="00512B45"/>
    <w:rsid w:val="00512D47"/>
    <w:rsid w:val="00514F5C"/>
    <w:rsid w:val="00516540"/>
    <w:rsid w:val="00516726"/>
    <w:rsid w:val="0051681F"/>
    <w:rsid w:val="00516B28"/>
    <w:rsid w:val="005170B2"/>
    <w:rsid w:val="005178A2"/>
    <w:rsid w:val="00520C33"/>
    <w:rsid w:val="00522FC7"/>
    <w:rsid w:val="005232E2"/>
    <w:rsid w:val="00523D08"/>
    <w:rsid w:val="00523EF0"/>
    <w:rsid w:val="005242F7"/>
    <w:rsid w:val="00525605"/>
    <w:rsid w:val="00525A4B"/>
    <w:rsid w:val="00525AF2"/>
    <w:rsid w:val="00525AFA"/>
    <w:rsid w:val="00525E9A"/>
    <w:rsid w:val="00526F43"/>
    <w:rsid w:val="00527807"/>
    <w:rsid w:val="00527AEF"/>
    <w:rsid w:val="00527EDC"/>
    <w:rsid w:val="00530297"/>
    <w:rsid w:val="005302A3"/>
    <w:rsid w:val="00530578"/>
    <w:rsid w:val="00530BB3"/>
    <w:rsid w:val="00530CDA"/>
    <w:rsid w:val="00531176"/>
    <w:rsid w:val="005313D0"/>
    <w:rsid w:val="00531D9C"/>
    <w:rsid w:val="005326F8"/>
    <w:rsid w:val="005329D0"/>
    <w:rsid w:val="00532FD6"/>
    <w:rsid w:val="005330A3"/>
    <w:rsid w:val="0053438F"/>
    <w:rsid w:val="0053517C"/>
    <w:rsid w:val="00535292"/>
    <w:rsid w:val="0053537B"/>
    <w:rsid w:val="00535859"/>
    <w:rsid w:val="00535C20"/>
    <w:rsid w:val="00536037"/>
    <w:rsid w:val="005375F3"/>
    <w:rsid w:val="0053769E"/>
    <w:rsid w:val="0053796D"/>
    <w:rsid w:val="00540096"/>
    <w:rsid w:val="005408CA"/>
    <w:rsid w:val="00540B6E"/>
    <w:rsid w:val="00541B2B"/>
    <w:rsid w:val="00541BD4"/>
    <w:rsid w:val="00541EC9"/>
    <w:rsid w:val="005420A6"/>
    <w:rsid w:val="00542423"/>
    <w:rsid w:val="0054256D"/>
    <w:rsid w:val="005430E8"/>
    <w:rsid w:val="005433EF"/>
    <w:rsid w:val="00543819"/>
    <w:rsid w:val="005443EF"/>
    <w:rsid w:val="00545A2C"/>
    <w:rsid w:val="00550025"/>
    <w:rsid w:val="00550528"/>
    <w:rsid w:val="00552888"/>
    <w:rsid w:val="005530DB"/>
    <w:rsid w:val="005531E3"/>
    <w:rsid w:val="00553758"/>
    <w:rsid w:val="00553766"/>
    <w:rsid w:val="00553960"/>
    <w:rsid w:val="00553968"/>
    <w:rsid w:val="00553D0A"/>
    <w:rsid w:val="00554BE1"/>
    <w:rsid w:val="00554D9A"/>
    <w:rsid w:val="005555F8"/>
    <w:rsid w:val="00555B59"/>
    <w:rsid w:val="00555FB4"/>
    <w:rsid w:val="005568D4"/>
    <w:rsid w:val="00556BCB"/>
    <w:rsid w:val="00556C72"/>
    <w:rsid w:val="005577E2"/>
    <w:rsid w:val="00557A7B"/>
    <w:rsid w:val="00557F4B"/>
    <w:rsid w:val="00560903"/>
    <w:rsid w:val="00560EEF"/>
    <w:rsid w:val="00561092"/>
    <w:rsid w:val="00561652"/>
    <w:rsid w:val="00561915"/>
    <w:rsid w:val="00561C69"/>
    <w:rsid w:val="00561D3B"/>
    <w:rsid w:val="005626CA"/>
    <w:rsid w:val="00562914"/>
    <w:rsid w:val="00563959"/>
    <w:rsid w:val="00564710"/>
    <w:rsid w:val="005648C9"/>
    <w:rsid w:val="00564C39"/>
    <w:rsid w:val="0056501E"/>
    <w:rsid w:val="00566369"/>
    <w:rsid w:val="005669EB"/>
    <w:rsid w:val="00566C25"/>
    <w:rsid w:val="00571CFF"/>
    <w:rsid w:val="00572092"/>
    <w:rsid w:val="005721B3"/>
    <w:rsid w:val="005732B0"/>
    <w:rsid w:val="00573591"/>
    <w:rsid w:val="00573D04"/>
    <w:rsid w:val="00573E71"/>
    <w:rsid w:val="00575DA9"/>
    <w:rsid w:val="005766A0"/>
    <w:rsid w:val="00576B03"/>
    <w:rsid w:val="00577603"/>
    <w:rsid w:val="00577E45"/>
    <w:rsid w:val="00577E96"/>
    <w:rsid w:val="00577FCC"/>
    <w:rsid w:val="0058159B"/>
    <w:rsid w:val="00581D8F"/>
    <w:rsid w:val="005824BC"/>
    <w:rsid w:val="0058352D"/>
    <w:rsid w:val="00583AF6"/>
    <w:rsid w:val="00583CDA"/>
    <w:rsid w:val="00583E6C"/>
    <w:rsid w:val="00584EFF"/>
    <w:rsid w:val="0058613D"/>
    <w:rsid w:val="00586B77"/>
    <w:rsid w:val="005875F0"/>
    <w:rsid w:val="00587CB1"/>
    <w:rsid w:val="00590013"/>
    <w:rsid w:val="00591867"/>
    <w:rsid w:val="0059196E"/>
    <w:rsid w:val="00592740"/>
    <w:rsid w:val="00592D96"/>
    <w:rsid w:val="0059338A"/>
    <w:rsid w:val="005938F3"/>
    <w:rsid w:val="00593F48"/>
    <w:rsid w:val="00594EFD"/>
    <w:rsid w:val="005951F7"/>
    <w:rsid w:val="00596785"/>
    <w:rsid w:val="00597049"/>
    <w:rsid w:val="005973CD"/>
    <w:rsid w:val="0059791D"/>
    <w:rsid w:val="005A0164"/>
    <w:rsid w:val="005A0763"/>
    <w:rsid w:val="005A09FE"/>
    <w:rsid w:val="005A0CA8"/>
    <w:rsid w:val="005A0D0C"/>
    <w:rsid w:val="005A158F"/>
    <w:rsid w:val="005A17CF"/>
    <w:rsid w:val="005A2064"/>
    <w:rsid w:val="005A2179"/>
    <w:rsid w:val="005A2235"/>
    <w:rsid w:val="005A2302"/>
    <w:rsid w:val="005A240A"/>
    <w:rsid w:val="005A2739"/>
    <w:rsid w:val="005A432C"/>
    <w:rsid w:val="005A44BD"/>
    <w:rsid w:val="005A4A5A"/>
    <w:rsid w:val="005A518E"/>
    <w:rsid w:val="005A555C"/>
    <w:rsid w:val="005A5A7D"/>
    <w:rsid w:val="005A5E22"/>
    <w:rsid w:val="005A6663"/>
    <w:rsid w:val="005A7048"/>
    <w:rsid w:val="005A7678"/>
    <w:rsid w:val="005B0021"/>
    <w:rsid w:val="005B0614"/>
    <w:rsid w:val="005B116F"/>
    <w:rsid w:val="005B11FF"/>
    <w:rsid w:val="005B2A84"/>
    <w:rsid w:val="005B326E"/>
    <w:rsid w:val="005B363B"/>
    <w:rsid w:val="005B4001"/>
    <w:rsid w:val="005B42CA"/>
    <w:rsid w:val="005B45E9"/>
    <w:rsid w:val="005B5168"/>
    <w:rsid w:val="005B5974"/>
    <w:rsid w:val="005B6263"/>
    <w:rsid w:val="005B720B"/>
    <w:rsid w:val="005B74DD"/>
    <w:rsid w:val="005C02D0"/>
    <w:rsid w:val="005C0434"/>
    <w:rsid w:val="005C0ED1"/>
    <w:rsid w:val="005C1733"/>
    <w:rsid w:val="005C2088"/>
    <w:rsid w:val="005C2319"/>
    <w:rsid w:val="005C25FA"/>
    <w:rsid w:val="005C2917"/>
    <w:rsid w:val="005C2E6C"/>
    <w:rsid w:val="005C4C24"/>
    <w:rsid w:val="005C4FF2"/>
    <w:rsid w:val="005C5217"/>
    <w:rsid w:val="005C5397"/>
    <w:rsid w:val="005C5D99"/>
    <w:rsid w:val="005C6392"/>
    <w:rsid w:val="005C73A1"/>
    <w:rsid w:val="005C7E7A"/>
    <w:rsid w:val="005C7F1B"/>
    <w:rsid w:val="005D0F6B"/>
    <w:rsid w:val="005D13A7"/>
    <w:rsid w:val="005D13F9"/>
    <w:rsid w:val="005D1FB0"/>
    <w:rsid w:val="005D20C0"/>
    <w:rsid w:val="005D2186"/>
    <w:rsid w:val="005D2245"/>
    <w:rsid w:val="005D2E36"/>
    <w:rsid w:val="005D3802"/>
    <w:rsid w:val="005D5B0C"/>
    <w:rsid w:val="005D5E1D"/>
    <w:rsid w:val="005D6491"/>
    <w:rsid w:val="005D6625"/>
    <w:rsid w:val="005D6CC5"/>
    <w:rsid w:val="005D7063"/>
    <w:rsid w:val="005D7873"/>
    <w:rsid w:val="005D7A2E"/>
    <w:rsid w:val="005E0B04"/>
    <w:rsid w:val="005E22C5"/>
    <w:rsid w:val="005E23C8"/>
    <w:rsid w:val="005E2920"/>
    <w:rsid w:val="005E2BE2"/>
    <w:rsid w:val="005E2EDD"/>
    <w:rsid w:val="005E3CFF"/>
    <w:rsid w:val="005E4503"/>
    <w:rsid w:val="005E4851"/>
    <w:rsid w:val="005E52D9"/>
    <w:rsid w:val="005E679F"/>
    <w:rsid w:val="005E6AB4"/>
    <w:rsid w:val="005E7143"/>
    <w:rsid w:val="005E7EB1"/>
    <w:rsid w:val="005E7F92"/>
    <w:rsid w:val="005F04A6"/>
    <w:rsid w:val="005F0611"/>
    <w:rsid w:val="005F0955"/>
    <w:rsid w:val="005F1127"/>
    <w:rsid w:val="005F122D"/>
    <w:rsid w:val="005F28DD"/>
    <w:rsid w:val="005F2DE5"/>
    <w:rsid w:val="005F2F0D"/>
    <w:rsid w:val="005F31AB"/>
    <w:rsid w:val="005F3C73"/>
    <w:rsid w:val="005F3CC4"/>
    <w:rsid w:val="005F402E"/>
    <w:rsid w:val="005F49AA"/>
    <w:rsid w:val="005F4FAE"/>
    <w:rsid w:val="005F58DB"/>
    <w:rsid w:val="005F6061"/>
    <w:rsid w:val="005F6331"/>
    <w:rsid w:val="005F69C2"/>
    <w:rsid w:val="005F70F4"/>
    <w:rsid w:val="005F7C08"/>
    <w:rsid w:val="00601012"/>
    <w:rsid w:val="006018C9"/>
    <w:rsid w:val="00602BB5"/>
    <w:rsid w:val="00603667"/>
    <w:rsid w:val="0060396D"/>
    <w:rsid w:val="00604089"/>
    <w:rsid w:val="006045EF"/>
    <w:rsid w:val="00606310"/>
    <w:rsid w:val="006064B0"/>
    <w:rsid w:val="0060699B"/>
    <w:rsid w:val="00606E0B"/>
    <w:rsid w:val="00607188"/>
    <w:rsid w:val="00607FDA"/>
    <w:rsid w:val="006102F8"/>
    <w:rsid w:val="00611593"/>
    <w:rsid w:val="00612F0D"/>
    <w:rsid w:val="006133C1"/>
    <w:rsid w:val="006142C9"/>
    <w:rsid w:val="00614675"/>
    <w:rsid w:val="0061501D"/>
    <w:rsid w:val="00615074"/>
    <w:rsid w:val="00615848"/>
    <w:rsid w:val="0061653B"/>
    <w:rsid w:val="006170A3"/>
    <w:rsid w:val="006173E4"/>
    <w:rsid w:val="00617D87"/>
    <w:rsid w:val="006208D3"/>
    <w:rsid w:val="00620DB2"/>
    <w:rsid w:val="006211F5"/>
    <w:rsid w:val="006215AF"/>
    <w:rsid w:val="00621D49"/>
    <w:rsid w:val="00622319"/>
    <w:rsid w:val="0062275B"/>
    <w:rsid w:val="00622CD8"/>
    <w:rsid w:val="0062387E"/>
    <w:rsid w:val="00624BDE"/>
    <w:rsid w:val="00625CBB"/>
    <w:rsid w:val="00626859"/>
    <w:rsid w:val="0062742B"/>
    <w:rsid w:val="006275E2"/>
    <w:rsid w:val="00630C05"/>
    <w:rsid w:val="00631CA4"/>
    <w:rsid w:val="006324C2"/>
    <w:rsid w:val="00632534"/>
    <w:rsid w:val="006328AF"/>
    <w:rsid w:val="00632F57"/>
    <w:rsid w:val="00632FE9"/>
    <w:rsid w:val="00633178"/>
    <w:rsid w:val="0063412E"/>
    <w:rsid w:val="006341B4"/>
    <w:rsid w:val="00634829"/>
    <w:rsid w:val="006349A6"/>
    <w:rsid w:val="00634F97"/>
    <w:rsid w:val="00635A2B"/>
    <w:rsid w:val="00636326"/>
    <w:rsid w:val="00636966"/>
    <w:rsid w:val="00636C87"/>
    <w:rsid w:val="0063719F"/>
    <w:rsid w:val="006374D0"/>
    <w:rsid w:val="0063751A"/>
    <w:rsid w:val="0063799A"/>
    <w:rsid w:val="00637C25"/>
    <w:rsid w:val="00640C2C"/>
    <w:rsid w:val="006413B9"/>
    <w:rsid w:val="0064258B"/>
    <w:rsid w:val="00642705"/>
    <w:rsid w:val="00642CFA"/>
    <w:rsid w:val="006448B4"/>
    <w:rsid w:val="00645CE1"/>
    <w:rsid w:val="00647031"/>
    <w:rsid w:val="006476D6"/>
    <w:rsid w:val="00647EC6"/>
    <w:rsid w:val="006500CA"/>
    <w:rsid w:val="00650AEF"/>
    <w:rsid w:val="006537AA"/>
    <w:rsid w:val="00653FA2"/>
    <w:rsid w:val="006548E9"/>
    <w:rsid w:val="00654C3E"/>
    <w:rsid w:val="006551B0"/>
    <w:rsid w:val="00655AF5"/>
    <w:rsid w:val="006575E6"/>
    <w:rsid w:val="00657A25"/>
    <w:rsid w:val="0066022F"/>
    <w:rsid w:val="00660537"/>
    <w:rsid w:val="00660821"/>
    <w:rsid w:val="00660B7D"/>
    <w:rsid w:val="00660D41"/>
    <w:rsid w:val="00660F58"/>
    <w:rsid w:val="00661E4A"/>
    <w:rsid w:val="00662173"/>
    <w:rsid w:val="0066253C"/>
    <w:rsid w:val="00662C79"/>
    <w:rsid w:val="00662EBC"/>
    <w:rsid w:val="0066495A"/>
    <w:rsid w:val="00664977"/>
    <w:rsid w:val="00664BB9"/>
    <w:rsid w:val="00665009"/>
    <w:rsid w:val="00665C15"/>
    <w:rsid w:val="00665FAC"/>
    <w:rsid w:val="0066693F"/>
    <w:rsid w:val="006677CC"/>
    <w:rsid w:val="00667E1C"/>
    <w:rsid w:val="0067021B"/>
    <w:rsid w:val="00670462"/>
    <w:rsid w:val="006733CF"/>
    <w:rsid w:val="006741F7"/>
    <w:rsid w:val="0067423F"/>
    <w:rsid w:val="006743CA"/>
    <w:rsid w:val="00674508"/>
    <w:rsid w:val="00674767"/>
    <w:rsid w:val="00674804"/>
    <w:rsid w:val="0067621D"/>
    <w:rsid w:val="0067690C"/>
    <w:rsid w:val="00676E2B"/>
    <w:rsid w:val="00677069"/>
    <w:rsid w:val="00677F6C"/>
    <w:rsid w:val="006802C1"/>
    <w:rsid w:val="006815E9"/>
    <w:rsid w:val="00681DA6"/>
    <w:rsid w:val="00681F0D"/>
    <w:rsid w:val="00682B02"/>
    <w:rsid w:val="00682B38"/>
    <w:rsid w:val="00683574"/>
    <w:rsid w:val="00683891"/>
    <w:rsid w:val="006846F9"/>
    <w:rsid w:val="00685CD9"/>
    <w:rsid w:val="00685EA8"/>
    <w:rsid w:val="00687617"/>
    <w:rsid w:val="00687D78"/>
    <w:rsid w:val="0069063D"/>
    <w:rsid w:val="00691154"/>
    <w:rsid w:val="006914D3"/>
    <w:rsid w:val="00691A40"/>
    <w:rsid w:val="00692662"/>
    <w:rsid w:val="00694069"/>
    <w:rsid w:val="006942CC"/>
    <w:rsid w:val="006943C3"/>
    <w:rsid w:val="00694987"/>
    <w:rsid w:val="00694D88"/>
    <w:rsid w:val="006953DD"/>
    <w:rsid w:val="00697039"/>
    <w:rsid w:val="006972BA"/>
    <w:rsid w:val="006976F3"/>
    <w:rsid w:val="006978CD"/>
    <w:rsid w:val="006A044B"/>
    <w:rsid w:val="006A0C54"/>
    <w:rsid w:val="006A10D2"/>
    <w:rsid w:val="006A184C"/>
    <w:rsid w:val="006A1B2C"/>
    <w:rsid w:val="006A1F65"/>
    <w:rsid w:val="006A1FBC"/>
    <w:rsid w:val="006A24C9"/>
    <w:rsid w:val="006A2575"/>
    <w:rsid w:val="006A2A79"/>
    <w:rsid w:val="006A35F9"/>
    <w:rsid w:val="006A3748"/>
    <w:rsid w:val="006A3E83"/>
    <w:rsid w:val="006A4437"/>
    <w:rsid w:val="006A46CB"/>
    <w:rsid w:val="006A5251"/>
    <w:rsid w:val="006A5FDC"/>
    <w:rsid w:val="006A69B1"/>
    <w:rsid w:val="006A6E04"/>
    <w:rsid w:val="006A72C8"/>
    <w:rsid w:val="006A747E"/>
    <w:rsid w:val="006A789B"/>
    <w:rsid w:val="006B03D8"/>
    <w:rsid w:val="006B0556"/>
    <w:rsid w:val="006B06BB"/>
    <w:rsid w:val="006B08AD"/>
    <w:rsid w:val="006B186C"/>
    <w:rsid w:val="006B1A5F"/>
    <w:rsid w:val="006B1C00"/>
    <w:rsid w:val="006B2A02"/>
    <w:rsid w:val="006B2C8B"/>
    <w:rsid w:val="006B2F67"/>
    <w:rsid w:val="006B2F6E"/>
    <w:rsid w:val="006B3801"/>
    <w:rsid w:val="006B3F1D"/>
    <w:rsid w:val="006B43A1"/>
    <w:rsid w:val="006B43E1"/>
    <w:rsid w:val="006B4855"/>
    <w:rsid w:val="006B51F2"/>
    <w:rsid w:val="006B560B"/>
    <w:rsid w:val="006B5A6C"/>
    <w:rsid w:val="006B5C1B"/>
    <w:rsid w:val="006B5FE7"/>
    <w:rsid w:val="006B6C94"/>
    <w:rsid w:val="006B7145"/>
    <w:rsid w:val="006B74A7"/>
    <w:rsid w:val="006B7970"/>
    <w:rsid w:val="006B7D7A"/>
    <w:rsid w:val="006C0429"/>
    <w:rsid w:val="006C22C1"/>
    <w:rsid w:val="006C2539"/>
    <w:rsid w:val="006C2893"/>
    <w:rsid w:val="006C2A39"/>
    <w:rsid w:val="006C2FD5"/>
    <w:rsid w:val="006C3501"/>
    <w:rsid w:val="006C3C5E"/>
    <w:rsid w:val="006C4F59"/>
    <w:rsid w:val="006C5C53"/>
    <w:rsid w:val="006C6342"/>
    <w:rsid w:val="006C7711"/>
    <w:rsid w:val="006D0885"/>
    <w:rsid w:val="006D1498"/>
    <w:rsid w:val="006D18EF"/>
    <w:rsid w:val="006D272D"/>
    <w:rsid w:val="006D2DAD"/>
    <w:rsid w:val="006D33A4"/>
    <w:rsid w:val="006D4740"/>
    <w:rsid w:val="006D4CD1"/>
    <w:rsid w:val="006D5538"/>
    <w:rsid w:val="006D5623"/>
    <w:rsid w:val="006D5CF7"/>
    <w:rsid w:val="006D5D5B"/>
    <w:rsid w:val="006D6256"/>
    <w:rsid w:val="006D700D"/>
    <w:rsid w:val="006D796D"/>
    <w:rsid w:val="006E0CF2"/>
    <w:rsid w:val="006E1689"/>
    <w:rsid w:val="006E1FF9"/>
    <w:rsid w:val="006E294A"/>
    <w:rsid w:val="006E2B25"/>
    <w:rsid w:val="006E32C6"/>
    <w:rsid w:val="006E3A85"/>
    <w:rsid w:val="006E4043"/>
    <w:rsid w:val="006E434A"/>
    <w:rsid w:val="006E4539"/>
    <w:rsid w:val="006E45B7"/>
    <w:rsid w:val="006E48DC"/>
    <w:rsid w:val="006E4B30"/>
    <w:rsid w:val="006E4D87"/>
    <w:rsid w:val="006E5604"/>
    <w:rsid w:val="006E5A36"/>
    <w:rsid w:val="006E6BD6"/>
    <w:rsid w:val="006E6C79"/>
    <w:rsid w:val="006F08AB"/>
    <w:rsid w:val="006F08E2"/>
    <w:rsid w:val="006F0AA0"/>
    <w:rsid w:val="006F1FC5"/>
    <w:rsid w:val="006F2113"/>
    <w:rsid w:val="006F24B7"/>
    <w:rsid w:val="006F2C6C"/>
    <w:rsid w:val="006F2F08"/>
    <w:rsid w:val="006F3211"/>
    <w:rsid w:val="006F33C2"/>
    <w:rsid w:val="006F3509"/>
    <w:rsid w:val="006F3C34"/>
    <w:rsid w:val="006F4188"/>
    <w:rsid w:val="006F4783"/>
    <w:rsid w:val="006F54E8"/>
    <w:rsid w:val="006F57DE"/>
    <w:rsid w:val="006F5FED"/>
    <w:rsid w:val="006F71AD"/>
    <w:rsid w:val="006F736F"/>
    <w:rsid w:val="006F7870"/>
    <w:rsid w:val="006F7F7D"/>
    <w:rsid w:val="0070007A"/>
    <w:rsid w:val="00704964"/>
    <w:rsid w:val="0070648F"/>
    <w:rsid w:val="00706ABD"/>
    <w:rsid w:val="00706B3D"/>
    <w:rsid w:val="00706F03"/>
    <w:rsid w:val="00707318"/>
    <w:rsid w:val="00707953"/>
    <w:rsid w:val="00707B64"/>
    <w:rsid w:val="00707D45"/>
    <w:rsid w:val="00710008"/>
    <w:rsid w:val="00710572"/>
    <w:rsid w:val="00711572"/>
    <w:rsid w:val="00711CA7"/>
    <w:rsid w:val="00712076"/>
    <w:rsid w:val="00712AC1"/>
    <w:rsid w:val="00712AE4"/>
    <w:rsid w:val="00713094"/>
    <w:rsid w:val="00714548"/>
    <w:rsid w:val="00714C8E"/>
    <w:rsid w:val="00716223"/>
    <w:rsid w:val="00716729"/>
    <w:rsid w:val="00716AE1"/>
    <w:rsid w:val="00717F5E"/>
    <w:rsid w:val="0072007C"/>
    <w:rsid w:val="00720A72"/>
    <w:rsid w:val="00721339"/>
    <w:rsid w:val="00721722"/>
    <w:rsid w:val="0072199A"/>
    <w:rsid w:val="00721D41"/>
    <w:rsid w:val="00721FD0"/>
    <w:rsid w:val="0072204F"/>
    <w:rsid w:val="00722085"/>
    <w:rsid w:val="00722B2C"/>
    <w:rsid w:val="00722E05"/>
    <w:rsid w:val="00722EEB"/>
    <w:rsid w:val="007238F1"/>
    <w:rsid w:val="00723DB8"/>
    <w:rsid w:val="007245BD"/>
    <w:rsid w:val="007249F8"/>
    <w:rsid w:val="00724BD9"/>
    <w:rsid w:val="007250BE"/>
    <w:rsid w:val="00725F6C"/>
    <w:rsid w:val="0072647B"/>
    <w:rsid w:val="00726BDE"/>
    <w:rsid w:val="007272ED"/>
    <w:rsid w:val="007273B4"/>
    <w:rsid w:val="00727B5F"/>
    <w:rsid w:val="00730125"/>
    <w:rsid w:val="00731360"/>
    <w:rsid w:val="007320F7"/>
    <w:rsid w:val="00732AF5"/>
    <w:rsid w:val="00732EE0"/>
    <w:rsid w:val="00734F3A"/>
    <w:rsid w:val="00735555"/>
    <w:rsid w:val="0073579F"/>
    <w:rsid w:val="00735E40"/>
    <w:rsid w:val="00736589"/>
    <w:rsid w:val="0073692E"/>
    <w:rsid w:val="007400EA"/>
    <w:rsid w:val="00740315"/>
    <w:rsid w:val="0074083B"/>
    <w:rsid w:val="007418B1"/>
    <w:rsid w:val="00741BDA"/>
    <w:rsid w:val="00741E6F"/>
    <w:rsid w:val="00742003"/>
    <w:rsid w:val="00742A02"/>
    <w:rsid w:val="00743688"/>
    <w:rsid w:val="007438CC"/>
    <w:rsid w:val="00743DCB"/>
    <w:rsid w:val="00745236"/>
    <w:rsid w:val="00745DAC"/>
    <w:rsid w:val="00746423"/>
    <w:rsid w:val="00747259"/>
    <w:rsid w:val="00750165"/>
    <w:rsid w:val="0075037F"/>
    <w:rsid w:val="00750460"/>
    <w:rsid w:val="00750F75"/>
    <w:rsid w:val="007522AE"/>
    <w:rsid w:val="00752819"/>
    <w:rsid w:val="00752DFA"/>
    <w:rsid w:val="007536DC"/>
    <w:rsid w:val="007536E6"/>
    <w:rsid w:val="00754DD7"/>
    <w:rsid w:val="00755126"/>
    <w:rsid w:val="00755467"/>
    <w:rsid w:val="00755600"/>
    <w:rsid w:val="00756137"/>
    <w:rsid w:val="00756193"/>
    <w:rsid w:val="007565C1"/>
    <w:rsid w:val="007568C6"/>
    <w:rsid w:val="0075690F"/>
    <w:rsid w:val="007570FF"/>
    <w:rsid w:val="00757270"/>
    <w:rsid w:val="007573ED"/>
    <w:rsid w:val="007577F7"/>
    <w:rsid w:val="007578AD"/>
    <w:rsid w:val="0076075D"/>
    <w:rsid w:val="00760A39"/>
    <w:rsid w:val="00760C66"/>
    <w:rsid w:val="00760D29"/>
    <w:rsid w:val="00762640"/>
    <w:rsid w:val="007630FF"/>
    <w:rsid w:val="007648FF"/>
    <w:rsid w:val="0076628A"/>
    <w:rsid w:val="00766E3A"/>
    <w:rsid w:val="007670F2"/>
    <w:rsid w:val="0076721D"/>
    <w:rsid w:val="00767525"/>
    <w:rsid w:val="00767658"/>
    <w:rsid w:val="00767BE5"/>
    <w:rsid w:val="00767E5F"/>
    <w:rsid w:val="00767F4D"/>
    <w:rsid w:val="0077003F"/>
    <w:rsid w:val="007708EE"/>
    <w:rsid w:val="00770B2B"/>
    <w:rsid w:val="00771086"/>
    <w:rsid w:val="007716AB"/>
    <w:rsid w:val="00771C06"/>
    <w:rsid w:val="00771D5B"/>
    <w:rsid w:val="00772210"/>
    <w:rsid w:val="0077286F"/>
    <w:rsid w:val="007729B0"/>
    <w:rsid w:val="00772A56"/>
    <w:rsid w:val="00772CD6"/>
    <w:rsid w:val="00775538"/>
    <w:rsid w:val="00775A1E"/>
    <w:rsid w:val="00775BC0"/>
    <w:rsid w:val="0077681F"/>
    <w:rsid w:val="00776D8C"/>
    <w:rsid w:val="0077785A"/>
    <w:rsid w:val="00777F32"/>
    <w:rsid w:val="007806C3"/>
    <w:rsid w:val="00780D3B"/>
    <w:rsid w:val="00780F82"/>
    <w:rsid w:val="00781156"/>
    <w:rsid w:val="00781EE0"/>
    <w:rsid w:val="007831AD"/>
    <w:rsid w:val="007831BF"/>
    <w:rsid w:val="0078350D"/>
    <w:rsid w:val="00783D07"/>
    <w:rsid w:val="007845A0"/>
    <w:rsid w:val="007864D6"/>
    <w:rsid w:val="00786F54"/>
    <w:rsid w:val="00787280"/>
    <w:rsid w:val="007874D3"/>
    <w:rsid w:val="0079198A"/>
    <w:rsid w:val="007933E0"/>
    <w:rsid w:val="0079362B"/>
    <w:rsid w:val="007945C8"/>
    <w:rsid w:val="0079469A"/>
    <w:rsid w:val="00794EA9"/>
    <w:rsid w:val="0079578E"/>
    <w:rsid w:val="007963B7"/>
    <w:rsid w:val="007963DB"/>
    <w:rsid w:val="0079640E"/>
    <w:rsid w:val="00796874"/>
    <w:rsid w:val="00796E7F"/>
    <w:rsid w:val="00797360"/>
    <w:rsid w:val="00797660"/>
    <w:rsid w:val="007976AF"/>
    <w:rsid w:val="0079773C"/>
    <w:rsid w:val="00797A51"/>
    <w:rsid w:val="00797B0A"/>
    <w:rsid w:val="007A01CF"/>
    <w:rsid w:val="007A0B8C"/>
    <w:rsid w:val="007A0CF9"/>
    <w:rsid w:val="007A1045"/>
    <w:rsid w:val="007A17FD"/>
    <w:rsid w:val="007A2A9E"/>
    <w:rsid w:val="007A2F4C"/>
    <w:rsid w:val="007A30C4"/>
    <w:rsid w:val="007A405B"/>
    <w:rsid w:val="007A4313"/>
    <w:rsid w:val="007A476B"/>
    <w:rsid w:val="007A509D"/>
    <w:rsid w:val="007A57E3"/>
    <w:rsid w:val="007A60B1"/>
    <w:rsid w:val="007A6E00"/>
    <w:rsid w:val="007B04EA"/>
    <w:rsid w:val="007B0617"/>
    <w:rsid w:val="007B0A7B"/>
    <w:rsid w:val="007B0ECE"/>
    <w:rsid w:val="007B1212"/>
    <w:rsid w:val="007B4081"/>
    <w:rsid w:val="007B55AE"/>
    <w:rsid w:val="007B5C93"/>
    <w:rsid w:val="007B6335"/>
    <w:rsid w:val="007B7317"/>
    <w:rsid w:val="007B77F7"/>
    <w:rsid w:val="007C0200"/>
    <w:rsid w:val="007C0B06"/>
    <w:rsid w:val="007C0CAF"/>
    <w:rsid w:val="007C0CE0"/>
    <w:rsid w:val="007C133C"/>
    <w:rsid w:val="007C158D"/>
    <w:rsid w:val="007C15E3"/>
    <w:rsid w:val="007C16F2"/>
    <w:rsid w:val="007C5263"/>
    <w:rsid w:val="007C5279"/>
    <w:rsid w:val="007C5A70"/>
    <w:rsid w:val="007C72C4"/>
    <w:rsid w:val="007D06D5"/>
    <w:rsid w:val="007D192B"/>
    <w:rsid w:val="007D1CBC"/>
    <w:rsid w:val="007D3134"/>
    <w:rsid w:val="007D32F9"/>
    <w:rsid w:val="007D37AF"/>
    <w:rsid w:val="007D3DAE"/>
    <w:rsid w:val="007D4290"/>
    <w:rsid w:val="007D42BD"/>
    <w:rsid w:val="007D5160"/>
    <w:rsid w:val="007D5779"/>
    <w:rsid w:val="007D693A"/>
    <w:rsid w:val="007D7429"/>
    <w:rsid w:val="007D74FE"/>
    <w:rsid w:val="007D79D2"/>
    <w:rsid w:val="007E029A"/>
    <w:rsid w:val="007E069B"/>
    <w:rsid w:val="007E0B3B"/>
    <w:rsid w:val="007E206D"/>
    <w:rsid w:val="007E2785"/>
    <w:rsid w:val="007E32AE"/>
    <w:rsid w:val="007E35FE"/>
    <w:rsid w:val="007E3B92"/>
    <w:rsid w:val="007E4F7A"/>
    <w:rsid w:val="007E5216"/>
    <w:rsid w:val="007E566E"/>
    <w:rsid w:val="007E5C62"/>
    <w:rsid w:val="007E6699"/>
    <w:rsid w:val="007E6DBD"/>
    <w:rsid w:val="007E765A"/>
    <w:rsid w:val="007E77C5"/>
    <w:rsid w:val="007E7D0E"/>
    <w:rsid w:val="007F0337"/>
    <w:rsid w:val="007F04C4"/>
    <w:rsid w:val="007F1C9A"/>
    <w:rsid w:val="007F2FB2"/>
    <w:rsid w:val="007F4768"/>
    <w:rsid w:val="007F5106"/>
    <w:rsid w:val="007F57A7"/>
    <w:rsid w:val="007F6EF7"/>
    <w:rsid w:val="007F7350"/>
    <w:rsid w:val="007F7A5F"/>
    <w:rsid w:val="00800276"/>
    <w:rsid w:val="00800727"/>
    <w:rsid w:val="00800A34"/>
    <w:rsid w:val="00800C66"/>
    <w:rsid w:val="00800DB9"/>
    <w:rsid w:val="008016F5"/>
    <w:rsid w:val="00801FE4"/>
    <w:rsid w:val="0080276F"/>
    <w:rsid w:val="00802929"/>
    <w:rsid w:val="00802A9C"/>
    <w:rsid w:val="008032CE"/>
    <w:rsid w:val="00803C94"/>
    <w:rsid w:val="008048D7"/>
    <w:rsid w:val="00804BE3"/>
    <w:rsid w:val="00805007"/>
    <w:rsid w:val="008056F6"/>
    <w:rsid w:val="00805795"/>
    <w:rsid w:val="00805B17"/>
    <w:rsid w:val="00805B2F"/>
    <w:rsid w:val="0080667D"/>
    <w:rsid w:val="00806F35"/>
    <w:rsid w:val="00806F8B"/>
    <w:rsid w:val="00807176"/>
    <w:rsid w:val="00807899"/>
    <w:rsid w:val="0081005E"/>
    <w:rsid w:val="008107B4"/>
    <w:rsid w:val="008126AE"/>
    <w:rsid w:val="008128F8"/>
    <w:rsid w:val="00812BF3"/>
    <w:rsid w:val="00813F1B"/>
    <w:rsid w:val="00816845"/>
    <w:rsid w:val="008168A4"/>
    <w:rsid w:val="00816A2D"/>
    <w:rsid w:val="0081713F"/>
    <w:rsid w:val="00820932"/>
    <w:rsid w:val="00821612"/>
    <w:rsid w:val="00821897"/>
    <w:rsid w:val="00821FFD"/>
    <w:rsid w:val="00823FEA"/>
    <w:rsid w:val="00826EEA"/>
    <w:rsid w:val="008270D7"/>
    <w:rsid w:val="008275AE"/>
    <w:rsid w:val="0082764B"/>
    <w:rsid w:val="0083036D"/>
    <w:rsid w:val="00830915"/>
    <w:rsid w:val="00830E82"/>
    <w:rsid w:val="00830FD0"/>
    <w:rsid w:val="0083109A"/>
    <w:rsid w:val="00831F95"/>
    <w:rsid w:val="00832BE6"/>
    <w:rsid w:val="00833328"/>
    <w:rsid w:val="00833E62"/>
    <w:rsid w:val="00836D8D"/>
    <w:rsid w:val="008402B3"/>
    <w:rsid w:val="0084055E"/>
    <w:rsid w:val="00841123"/>
    <w:rsid w:val="00841512"/>
    <w:rsid w:val="008416A1"/>
    <w:rsid w:val="00841B07"/>
    <w:rsid w:val="00842A73"/>
    <w:rsid w:val="008435E4"/>
    <w:rsid w:val="0084377D"/>
    <w:rsid w:val="00843984"/>
    <w:rsid w:val="00843ABF"/>
    <w:rsid w:val="00844581"/>
    <w:rsid w:val="0084518B"/>
    <w:rsid w:val="0084648C"/>
    <w:rsid w:val="00846E86"/>
    <w:rsid w:val="00847C02"/>
    <w:rsid w:val="0085002C"/>
    <w:rsid w:val="00851D37"/>
    <w:rsid w:val="00851FBA"/>
    <w:rsid w:val="00852703"/>
    <w:rsid w:val="00852986"/>
    <w:rsid w:val="00852A40"/>
    <w:rsid w:val="00853A12"/>
    <w:rsid w:val="00853AD0"/>
    <w:rsid w:val="00854493"/>
    <w:rsid w:val="00854F32"/>
    <w:rsid w:val="0085562E"/>
    <w:rsid w:val="00855867"/>
    <w:rsid w:val="008558AF"/>
    <w:rsid w:val="00855B1C"/>
    <w:rsid w:val="00855BA9"/>
    <w:rsid w:val="00855F8D"/>
    <w:rsid w:val="0085771B"/>
    <w:rsid w:val="00857999"/>
    <w:rsid w:val="00857AC8"/>
    <w:rsid w:val="00860073"/>
    <w:rsid w:val="00861AAC"/>
    <w:rsid w:val="00861C16"/>
    <w:rsid w:val="00862784"/>
    <w:rsid w:val="00862A5E"/>
    <w:rsid w:val="0086314E"/>
    <w:rsid w:val="00863883"/>
    <w:rsid w:val="00863F6E"/>
    <w:rsid w:val="00864558"/>
    <w:rsid w:val="008645C1"/>
    <w:rsid w:val="008659B7"/>
    <w:rsid w:val="00866FA5"/>
    <w:rsid w:val="008672D6"/>
    <w:rsid w:val="00870591"/>
    <w:rsid w:val="008713DB"/>
    <w:rsid w:val="0087180F"/>
    <w:rsid w:val="00871D43"/>
    <w:rsid w:val="008731D4"/>
    <w:rsid w:val="00873232"/>
    <w:rsid w:val="00873336"/>
    <w:rsid w:val="00873D4A"/>
    <w:rsid w:val="00874368"/>
    <w:rsid w:val="0087477D"/>
    <w:rsid w:val="00874A51"/>
    <w:rsid w:val="00874B61"/>
    <w:rsid w:val="00874B76"/>
    <w:rsid w:val="00875206"/>
    <w:rsid w:val="00875DC3"/>
    <w:rsid w:val="008760C4"/>
    <w:rsid w:val="00876741"/>
    <w:rsid w:val="00876EC5"/>
    <w:rsid w:val="00876F18"/>
    <w:rsid w:val="0087775A"/>
    <w:rsid w:val="00877D8E"/>
    <w:rsid w:val="0088005D"/>
    <w:rsid w:val="00880983"/>
    <w:rsid w:val="00881376"/>
    <w:rsid w:val="0088187C"/>
    <w:rsid w:val="00881972"/>
    <w:rsid w:val="00881CDC"/>
    <w:rsid w:val="0088296C"/>
    <w:rsid w:val="008831D4"/>
    <w:rsid w:val="008833A4"/>
    <w:rsid w:val="008839A6"/>
    <w:rsid w:val="00884C2A"/>
    <w:rsid w:val="00884CB9"/>
    <w:rsid w:val="00884F26"/>
    <w:rsid w:val="00886657"/>
    <w:rsid w:val="008866B1"/>
    <w:rsid w:val="00887192"/>
    <w:rsid w:val="008903FF"/>
    <w:rsid w:val="00890485"/>
    <w:rsid w:val="008905AC"/>
    <w:rsid w:val="00890C69"/>
    <w:rsid w:val="0089105C"/>
    <w:rsid w:val="00891B45"/>
    <w:rsid w:val="00891F66"/>
    <w:rsid w:val="00892911"/>
    <w:rsid w:val="008936F5"/>
    <w:rsid w:val="00893A62"/>
    <w:rsid w:val="0089439F"/>
    <w:rsid w:val="008943C3"/>
    <w:rsid w:val="008948D1"/>
    <w:rsid w:val="008950FF"/>
    <w:rsid w:val="00895176"/>
    <w:rsid w:val="00895215"/>
    <w:rsid w:val="00895459"/>
    <w:rsid w:val="008966E1"/>
    <w:rsid w:val="00896A2C"/>
    <w:rsid w:val="00897FBB"/>
    <w:rsid w:val="008A099E"/>
    <w:rsid w:val="008A1016"/>
    <w:rsid w:val="008A1149"/>
    <w:rsid w:val="008A20ED"/>
    <w:rsid w:val="008A22AB"/>
    <w:rsid w:val="008A2394"/>
    <w:rsid w:val="008A2AE1"/>
    <w:rsid w:val="008A2CB5"/>
    <w:rsid w:val="008A2EB3"/>
    <w:rsid w:val="008A3410"/>
    <w:rsid w:val="008A3625"/>
    <w:rsid w:val="008A467F"/>
    <w:rsid w:val="008A4C3A"/>
    <w:rsid w:val="008A521A"/>
    <w:rsid w:val="008A5AF6"/>
    <w:rsid w:val="008A73E8"/>
    <w:rsid w:val="008B0808"/>
    <w:rsid w:val="008B0E8F"/>
    <w:rsid w:val="008B0F2F"/>
    <w:rsid w:val="008B17A7"/>
    <w:rsid w:val="008B1B3D"/>
    <w:rsid w:val="008B1E2A"/>
    <w:rsid w:val="008B1F00"/>
    <w:rsid w:val="008B308F"/>
    <w:rsid w:val="008B40DA"/>
    <w:rsid w:val="008B43AC"/>
    <w:rsid w:val="008B4FDA"/>
    <w:rsid w:val="008B5291"/>
    <w:rsid w:val="008B562E"/>
    <w:rsid w:val="008B5F7D"/>
    <w:rsid w:val="008B6AE6"/>
    <w:rsid w:val="008B6ED3"/>
    <w:rsid w:val="008B7032"/>
    <w:rsid w:val="008B7257"/>
    <w:rsid w:val="008B7AAC"/>
    <w:rsid w:val="008B7C4C"/>
    <w:rsid w:val="008B7EA8"/>
    <w:rsid w:val="008B7EB7"/>
    <w:rsid w:val="008C0009"/>
    <w:rsid w:val="008C07C8"/>
    <w:rsid w:val="008C0865"/>
    <w:rsid w:val="008C0B2F"/>
    <w:rsid w:val="008C18F3"/>
    <w:rsid w:val="008C1CC7"/>
    <w:rsid w:val="008C23DD"/>
    <w:rsid w:val="008C25F5"/>
    <w:rsid w:val="008C5239"/>
    <w:rsid w:val="008D012A"/>
    <w:rsid w:val="008D0E36"/>
    <w:rsid w:val="008D1080"/>
    <w:rsid w:val="008D1EB5"/>
    <w:rsid w:val="008D1F74"/>
    <w:rsid w:val="008D3B2D"/>
    <w:rsid w:val="008D3CB1"/>
    <w:rsid w:val="008D3E32"/>
    <w:rsid w:val="008D44F6"/>
    <w:rsid w:val="008D4F24"/>
    <w:rsid w:val="008D5361"/>
    <w:rsid w:val="008D565E"/>
    <w:rsid w:val="008D5AE5"/>
    <w:rsid w:val="008D61F4"/>
    <w:rsid w:val="008D6F4A"/>
    <w:rsid w:val="008D7236"/>
    <w:rsid w:val="008E0B70"/>
    <w:rsid w:val="008E0DF7"/>
    <w:rsid w:val="008E0E91"/>
    <w:rsid w:val="008E117E"/>
    <w:rsid w:val="008E189D"/>
    <w:rsid w:val="008E20B1"/>
    <w:rsid w:val="008E2896"/>
    <w:rsid w:val="008E3297"/>
    <w:rsid w:val="008E6002"/>
    <w:rsid w:val="008E62CC"/>
    <w:rsid w:val="008E68A8"/>
    <w:rsid w:val="008E6AD9"/>
    <w:rsid w:val="008E6B7C"/>
    <w:rsid w:val="008E7B2A"/>
    <w:rsid w:val="008E7CD7"/>
    <w:rsid w:val="008E7EF2"/>
    <w:rsid w:val="008E7FCA"/>
    <w:rsid w:val="008F06AE"/>
    <w:rsid w:val="008F13C3"/>
    <w:rsid w:val="008F2741"/>
    <w:rsid w:val="008F28E4"/>
    <w:rsid w:val="008F3607"/>
    <w:rsid w:val="008F3E16"/>
    <w:rsid w:val="008F430F"/>
    <w:rsid w:val="008F4521"/>
    <w:rsid w:val="008F5000"/>
    <w:rsid w:val="008F51CC"/>
    <w:rsid w:val="008F57B4"/>
    <w:rsid w:val="008F5B5E"/>
    <w:rsid w:val="008F6727"/>
    <w:rsid w:val="008F6FAE"/>
    <w:rsid w:val="00900413"/>
    <w:rsid w:val="009004E7"/>
    <w:rsid w:val="00901060"/>
    <w:rsid w:val="009011C1"/>
    <w:rsid w:val="00901313"/>
    <w:rsid w:val="00901373"/>
    <w:rsid w:val="0090247A"/>
    <w:rsid w:val="00902B0B"/>
    <w:rsid w:val="00902C3A"/>
    <w:rsid w:val="00902EE4"/>
    <w:rsid w:val="00902F0F"/>
    <w:rsid w:val="0090430D"/>
    <w:rsid w:val="0090448C"/>
    <w:rsid w:val="00904B23"/>
    <w:rsid w:val="00905883"/>
    <w:rsid w:val="00905CE3"/>
    <w:rsid w:val="00906165"/>
    <w:rsid w:val="009061AB"/>
    <w:rsid w:val="009062C3"/>
    <w:rsid w:val="009068A9"/>
    <w:rsid w:val="00906C20"/>
    <w:rsid w:val="009071F4"/>
    <w:rsid w:val="009075FE"/>
    <w:rsid w:val="00910BC3"/>
    <w:rsid w:val="00910CCE"/>
    <w:rsid w:val="00912BC4"/>
    <w:rsid w:val="00912CAA"/>
    <w:rsid w:val="009138A3"/>
    <w:rsid w:val="00913A99"/>
    <w:rsid w:val="009152BA"/>
    <w:rsid w:val="00915991"/>
    <w:rsid w:val="0091653A"/>
    <w:rsid w:val="00916726"/>
    <w:rsid w:val="00917646"/>
    <w:rsid w:val="00920A89"/>
    <w:rsid w:val="00920E7B"/>
    <w:rsid w:val="00923BA5"/>
    <w:rsid w:val="009242F5"/>
    <w:rsid w:val="00925295"/>
    <w:rsid w:val="009254F7"/>
    <w:rsid w:val="00925C92"/>
    <w:rsid w:val="00925FCE"/>
    <w:rsid w:val="00926175"/>
    <w:rsid w:val="00926AB6"/>
    <w:rsid w:val="00927121"/>
    <w:rsid w:val="0092735B"/>
    <w:rsid w:val="0092791C"/>
    <w:rsid w:val="00927B2F"/>
    <w:rsid w:val="0093021B"/>
    <w:rsid w:val="00930723"/>
    <w:rsid w:val="00930F06"/>
    <w:rsid w:val="00932055"/>
    <w:rsid w:val="00932325"/>
    <w:rsid w:val="009333EB"/>
    <w:rsid w:val="009335F7"/>
    <w:rsid w:val="00933620"/>
    <w:rsid w:val="0093447E"/>
    <w:rsid w:val="00934714"/>
    <w:rsid w:val="00936240"/>
    <w:rsid w:val="00936CDC"/>
    <w:rsid w:val="009372D5"/>
    <w:rsid w:val="00937F5E"/>
    <w:rsid w:val="0094026E"/>
    <w:rsid w:val="009416A0"/>
    <w:rsid w:val="0094204F"/>
    <w:rsid w:val="009426E7"/>
    <w:rsid w:val="0094385D"/>
    <w:rsid w:val="00943AC8"/>
    <w:rsid w:val="00943C6F"/>
    <w:rsid w:val="00944536"/>
    <w:rsid w:val="00944640"/>
    <w:rsid w:val="0094512E"/>
    <w:rsid w:val="00945347"/>
    <w:rsid w:val="0094536F"/>
    <w:rsid w:val="00945715"/>
    <w:rsid w:val="009457A4"/>
    <w:rsid w:val="0094616A"/>
    <w:rsid w:val="0094620B"/>
    <w:rsid w:val="00946E45"/>
    <w:rsid w:val="00946F10"/>
    <w:rsid w:val="00950747"/>
    <w:rsid w:val="00950B29"/>
    <w:rsid w:val="00951706"/>
    <w:rsid w:val="009524B8"/>
    <w:rsid w:val="0095269C"/>
    <w:rsid w:val="009527BE"/>
    <w:rsid w:val="00953A66"/>
    <w:rsid w:val="009541C3"/>
    <w:rsid w:val="00954850"/>
    <w:rsid w:val="0095508C"/>
    <w:rsid w:val="009554B9"/>
    <w:rsid w:val="00955501"/>
    <w:rsid w:val="00956EAF"/>
    <w:rsid w:val="00956F6C"/>
    <w:rsid w:val="00957414"/>
    <w:rsid w:val="00957D35"/>
    <w:rsid w:val="00960835"/>
    <w:rsid w:val="00961175"/>
    <w:rsid w:val="00961D62"/>
    <w:rsid w:val="00962667"/>
    <w:rsid w:val="0096268C"/>
    <w:rsid w:val="009632A0"/>
    <w:rsid w:val="00963327"/>
    <w:rsid w:val="00963B01"/>
    <w:rsid w:val="00964125"/>
    <w:rsid w:val="0096417E"/>
    <w:rsid w:val="009654DC"/>
    <w:rsid w:val="0096593C"/>
    <w:rsid w:val="009660ED"/>
    <w:rsid w:val="00966FCE"/>
    <w:rsid w:val="009676EC"/>
    <w:rsid w:val="0097045F"/>
    <w:rsid w:val="00970755"/>
    <w:rsid w:val="00970DCD"/>
    <w:rsid w:val="00971765"/>
    <w:rsid w:val="009718A0"/>
    <w:rsid w:val="00971AB9"/>
    <w:rsid w:val="00971E48"/>
    <w:rsid w:val="00971F3F"/>
    <w:rsid w:val="00971FB4"/>
    <w:rsid w:val="00972363"/>
    <w:rsid w:val="00973EBB"/>
    <w:rsid w:val="009755BB"/>
    <w:rsid w:val="00975BF1"/>
    <w:rsid w:val="00975CA3"/>
    <w:rsid w:val="009765D5"/>
    <w:rsid w:val="0097699B"/>
    <w:rsid w:val="009775E3"/>
    <w:rsid w:val="00977913"/>
    <w:rsid w:val="00977BA7"/>
    <w:rsid w:val="00977CEA"/>
    <w:rsid w:val="00981505"/>
    <w:rsid w:val="00981517"/>
    <w:rsid w:val="00982268"/>
    <w:rsid w:val="009827AB"/>
    <w:rsid w:val="00982DE3"/>
    <w:rsid w:val="0098395E"/>
    <w:rsid w:val="00984762"/>
    <w:rsid w:val="009847F4"/>
    <w:rsid w:val="00984BA9"/>
    <w:rsid w:val="00984C05"/>
    <w:rsid w:val="00984F2D"/>
    <w:rsid w:val="00985004"/>
    <w:rsid w:val="009856B8"/>
    <w:rsid w:val="00985F50"/>
    <w:rsid w:val="009867D5"/>
    <w:rsid w:val="009869E1"/>
    <w:rsid w:val="00986A2E"/>
    <w:rsid w:val="00986DBA"/>
    <w:rsid w:val="009905CA"/>
    <w:rsid w:val="00990E72"/>
    <w:rsid w:val="0099121C"/>
    <w:rsid w:val="00991733"/>
    <w:rsid w:val="009921FE"/>
    <w:rsid w:val="009923B2"/>
    <w:rsid w:val="00992A8B"/>
    <w:rsid w:val="009936A1"/>
    <w:rsid w:val="009937B3"/>
    <w:rsid w:val="00994737"/>
    <w:rsid w:val="00994D0B"/>
    <w:rsid w:val="00994EA8"/>
    <w:rsid w:val="009955D0"/>
    <w:rsid w:val="00997872"/>
    <w:rsid w:val="00997FA0"/>
    <w:rsid w:val="009A096B"/>
    <w:rsid w:val="009A0C17"/>
    <w:rsid w:val="009A0FF0"/>
    <w:rsid w:val="009A19D2"/>
    <w:rsid w:val="009A19DD"/>
    <w:rsid w:val="009A1DC3"/>
    <w:rsid w:val="009A1E7B"/>
    <w:rsid w:val="009A23DB"/>
    <w:rsid w:val="009A31B6"/>
    <w:rsid w:val="009A3B16"/>
    <w:rsid w:val="009A45DA"/>
    <w:rsid w:val="009A5158"/>
    <w:rsid w:val="009A60F4"/>
    <w:rsid w:val="009A6178"/>
    <w:rsid w:val="009A6BB5"/>
    <w:rsid w:val="009A6D7A"/>
    <w:rsid w:val="009A75DE"/>
    <w:rsid w:val="009B01C8"/>
    <w:rsid w:val="009B03D7"/>
    <w:rsid w:val="009B0F72"/>
    <w:rsid w:val="009B1881"/>
    <w:rsid w:val="009B1E12"/>
    <w:rsid w:val="009B28D1"/>
    <w:rsid w:val="009B3784"/>
    <w:rsid w:val="009B383B"/>
    <w:rsid w:val="009B3D3C"/>
    <w:rsid w:val="009B3F51"/>
    <w:rsid w:val="009B481C"/>
    <w:rsid w:val="009B4D4D"/>
    <w:rsid w:val="009B5003"/>
    <w:rsid w:val="009B500A"/>
    <w:rsid w:val="009B62D5"/>
    <w:rsid w:val="009C0170"/>
    <w:rsid w:val="009C0267"/>
    <w:rsid w:val="009C0FAB"/>
    <w:rsid w:val="009C1819"/>
    <w:rsid w:val="009C1AAC"/>
    <w:rsid w:val="009C21FE"/>
    <w:rsid w:val="009C233E"/>
    <w:rsid w:val="009C2A3F"/>
    <w:rsid w:val="009C2B1D"/>
    <w:rsid w:val="009C315E"/>
    <w:rsid w:val="009C323E"/>
    <w:rsid w:val="009C43A8"/>
    <w:rsid w:val="009C445C"/>
    <w:rsid w:val="009C537C"/>
    <w:rsid w:val="009C55BF"/>
    <w:rsid w:val="009C5659"/>
    <w:rsid w:val="009C5A37"/>
    <w:rsid w:val="009C5A9E"/>
    <w:rsid w:val="009C5B8C"/>
    <w:rsid w:val="009C5DEE"/>
    <w:rsid w:val="009C5EF6"/>
    <w:rsid w:val="009C717F"/>
    <w:rsid w:val="009C7247"/>
    <w:rsid w:val="009C7B56"/>
    <w:rsid w:val="009C7D08"/>
    <w:rsid w:val="009C7F58"/>
    <w:rsid w:val="009D0298"/>
    <w:rsid w:val="009D0C4B"/>
    <w:rsid w:val="009D43A7"/>
    <w:rsid w:val="009D51DD"/>
    <w:rsid w:val="009D54C7"/>
    <w:rsid w:val="009D76A8"/>
    <w:rsid w:val="009E0C8D"/>
    <w:rsid w:val="009E117E"/>
    <w:rsid w:val="009E13E0"/>
    <w:rsid w:val="009E1A0C"/>
    <w:rsid w:val="009E1E7D"/>
    <w:rsid w:val="009E216A"/>
    <w:rsid w:val="009E27BA"/>
    <w:rsid w:val="009E2A43"/>
    <w:rsid w:val="009E2FDC"/>
    <w:rsid w:val="009E31DC"/>
    <w:rsid w:val="009E360B"/>
    <w:rsid w:val="009E4147"/>
    <w:rsid w:val="009E4865"/>
    <w:rsid w:val="009E4A5D"/>
    <w:rsid w:val="009E4CAB"/>
    <w:rsid w:val="009E4DF7"/>
    <w:rsid w:val="009E5A86"/>
    <w:rsid w:val="009E5E06"/>
    <w:rsid w:val="009E6160"/>
    <w:rsid w:val="009E6E1F"/>
    <w:rsid w:val="009E70FF"/>
    <w:rsid w:val="009E7875"/>
    <w:rsid w:val="009E7C12"/>
    <w:rsid w:val="009F078C"/>
    <w:rsid w:val="009F095F"/>
    <w:rsid w:val="009F17D8"/>
    <w:rsid w:val="009F303B"/>
    <w:rsid w:val="009F3631"/>
    <w:rsid w:val="009F490A"/>
    <w:rsid w:val="009F49D8"/>
    <w:rsid w:val="009F4D7C"/>
    <w:rsid w:val="009F5872"/>
    <w:rsid w:val="009F6B95"/>
    <w:rsid w:val="009F71EF"/>
    <w:rsid w:val="009F75ED"/>
    <w:rsid w:val="009F7873"/>
    <w:rsid w:val="00A00684"/>
    <w:rsid w:val="00A02BEF"/>
    <w:rsid w:val="00A037B5"/>
    <w:rsid w:val="00A03BA6"/>
    <w:rsid w:val="00A04455"/>
    <w:rsid w:val="00A04B9A"/>
    <w:rsid w:val="00A04D93"/>
    <w:rsid w:val="00A05197"/>
    <w:rsid w:val="00A052A8"/>
    <w:rsid w:val="00A05DE3"/>
    <w:rsid w:val="00A0608E"/>
    <w:rsid w:val="00A076F9"/>
    <w:rsid w:val="00A10AD2"/>
    <w:rsid w:val="00A10C51"/>
    <w:rsid w:val="00A1242A"/>
    <w:rsid w:val="00A12712"/>
    <w:rsid w:val="00A132C7"/>
    <w:rsid w:val="00A13A9F"/>
    <w:rsid w:val="00A13D64"/>
    <w:rsid w:val="00A13E62"/>
    <w:rsid w:val="00A1408B"/>
    <w:rsid w:val="00A1437D"/>
    <w:rsid w:val="00A14467"/>
    <w:rsid w:val="00A14D35"/>
    <w:rsid w:val="00A152B6"/>
    <w:rsid w:val="00A17CE0"/>
    <w:rsid w:val="00A201DF"/>
    <w:rsid w:val="00A21C0B"/>
    <w:rsid w:val="00A21CD0"/>
    <w:rsid w:val="00A22BEB"/>
    <w:rsid w:val="00A234F0"/>
    <w:rsid w:val="00A236AF"/>
    <w:rsid w:val="00A2371D"/>
    <w:rsid w:val="00A23CE1"/>
    <w:rsid w:val="00A2452C"/>
    <w:rsid w:val="00A24FAD"/>
    <w:rsid w:val="00A26510"/>
    <w:rsid w:val="00A26F8E"/>
    <w:rsid w:val="00A308D1"/>
    <w:rsid w:val="00A3161C"/>
    <w:rsid w:val="00A3163C"/>
    <w:rsid w:val="00A31B12"/>
    <w:rsid w:val="00A31E41"/>
    <w:rsid w:val="00A32056"/>
    <w:rsid w:val="00A32A78"/>
    <w:rsid w:val="00A32BD4"/>
    <w:rsid w:val="00A338BD"/>
    <w:rsid w:val="00A33A80"/>
    <w:rsid w:val="00A33B7E"/>
    <w:rsid w:val="00A342BD"/>
    <w:rsid w:val="00A34B4A"/>
    <w:rsid w:val="00A34F50"/>
    <w:rsid w:val="00A352CA"/>
    <w:rsid w:val="00A3555C"/>
    <w:rsid w:val="00A355CA"/>
    <w:rsid w:val="00A35A71"/>
    <w:rsid w:val="00A35CB2"/>
    <w:rsid w:val="00A3632D"/>
    <w:rsid w:val="00A36728"/>
    <w:rsid w:val="00A367C3"/>
    <w:rsid w:val="00A36FE5"/>
    <w:rsid w:val="00A37BA5"/>
    <w:rsid w:val="00A37CC0"/>
    <w:rsid w:val="00A401D3"/>
    <w:rsid w:val="00A40577"/>
    <w:rsid w:val="00A4085E"/>
    <w:rsid w:val="00A40CB9"/>
    <w:rsid w:val="00A4291D"/>
    <w:rsid w:val="00A43393"/>
    <w:rsid w:val="00A445B1"/>
    <w:rsid w:val="00A44BD4"/>
    <w:rsid w:val="00A456E5"/>
    <w:rsid w:val="00A458A2"/>
    <w:rsid w:val="00A45C7B"/>
    <w:rsid w:val="00A45EDB"/>
    <w:rsid w:val="00A46895"/>
    <w:rsid w:val="00A46E01"/>
    <w:rsid w:val="00A4738A"/>
    <w:rsid w:val="00A4761E"/>
    <w:rsid w:val="00A5203A"/>
    <w:rsid w:val="00A52D51"/>
    <w:rsid w:val="00A52DCF"/>
    <w:rsid w:val="00A534C3"/>
    <w:rsid w:val="00A53A62"/>
    <w:rsid w:val="00A53E5C"/>
    <w:rsid w:val="00A54111"/>
    <w:rsid w:val="00A543BB"/>
    <w:rsid w:val="00A557E2"/>
    <w:rsid w:val="00A55C64"/>
    <w:rsid w:val="00A5601C"/>
    <w:rsid w:val="00A5653C"/>
    <w:rsid w:val="00A576EF"/>
    <w:rsid w:val="00A616FF"/>
    <w:rsid w:val="00A61862"/>
    <w:rsid w:val="00A62099"/>
    <w:rsid w:val="00A62A6F"/>
    <w:rsid w:val="00A62A74"/>
    <w:rsid w:val="00A62B9B"/>
    <w:rsid w:val="00A633B4"/>
    <w:rsid w:val="00A6377A"/>
    <w:rsid w:val="00A638B8"/>
    <w:rsid w:val="00A63943"/>
    <w:rsid w:val="00A63A7A"/>
    <w:rsid w:val="00A63B03"/>
    <w:rsid w:val="00A646C0"/>
    <w:rsid w:val="00A6487F"/>
    <w:rsid w:val="00A6507E"/>
    <w:rsid w:val="00A656C8"/>
    <w:rsid w:val="00A66428"/>
    <w:rsid w:val="00A668EA"/>
    <w:rsid w:val="00A66FAB"/>
    <w:rsid w:val="00A6717B"/>
    <w:rsid w:val="00A6763E"/>
    <w:rsid w:val="00A678AD"/>
    <w:rsid w:val="00A70391"/>
    <w:rsid w:val="00A71ABC"/>
    <w:rsid w:val="00A72821"/>
    <w:rsid w:val="00A72C3A"/>
    <w:rsid w:val="00A72E25"/>
    <w:rsid w:val="00A7337B"/>
    <w:rsid w:val="00A73614"/>
    <w:rsid w:val="00A743B6"/>
    <w:rsid w:val="00A74453"/>
    <w:rsid w:val="00A74876"/>
    <w:rsid w:val="00A7495F"/>
    <w:rsid w:val="00A764F0"/>
    <w:rsid w:val="00A76744"/>
    <w:rsid w:val="00A767AC"/>
    <w:rsid w:val="00A767B4"/>
    <w:rsid w:val="00A76AE4"/>
    <w:rsid w:val="00A779C9"/>
    <w:rsid w:val="00A808F5"/>
    <w:rsid w:val="00A8129A"/>
    <w:rsid w:val="00A8189F"/>
    <w:rsid w:val="00A82B23"/>
    <w:rsid w:val="00A845AF"/>
    <w:rsid w:val="00A84F0C"/>
    <w:rsid w:val="00A85257"/>
    <w:rsid w:val="00A85343"/>
    <w:rsid w:val="00A85A58"/>
    <w:rsid w:val="00A85C14"/>
    <w:rsid w:val="00A873B2"/>
    <w:rsid w:val="00A87800"/>
    <w:rsid w:val="00A90691"/>
    <w:rsid w:val="00A90A05"/>
    <w:rsid w:val="00A91022"/>
    <w:rsid w:val="00A912C5"/>
    <w:rsid w:val="00A91A16"/>
    <w:rsid w:val="00A91D64"/>
    <w:rsid w:val="00A93771"/>
    <w:rsid w:val="00A93FD3"/>
    <w:rsid w:val="00A94275"/>
    <w:rsid w:val="00A946AF"/>
    <w:rsid w:val="00A96237"/>
    <w:rsid w:val="00A96605"/>
    <w:rsid w:val="00A97482"/>
    <w:rsid w:val="00A9772D"/>
    <w:rsid w:val="00AA0181"/>
    <w:rsid w:val="00AA030F"/>
    <w:rsid w:val="00AA2114"/>
    <w:rsid w:val="00AA2DB5"/>
    <w:rsid w:val="00AA2E5D"/>
    <w:rsid w:val="00AA32E2"/>
    <w:rsid w:val="00AA3CD6"/>
    <w:rsid w:val="00AA405E"/>
    <w:rsid w:val="00AA4EE2"/>
    <w:rsid w:val="00AA51FC"/>
    <w:rsid w:val="00AA589F"/>
    <w:rsid w:val="00AA606B"/>
    <w:rsid w:val="00AA6154"/>
    <w:rsid w:val="00AA6518"/>
    <w:rsid w:val="00AA67F7"/>
    <w:rsid w:val="00AA682B"/>
    <w:rsid w:val="00AA6FD3"/>
    <w:rsid w:val="00AA77B1"/>
    <w:rsid w:val="00AB1043"/>
    <w:rsid w:val="00AB1491"/>
    <w:rsid w:val="00AB18B0"/>
    <w:rsid w:val="00AB228E"/>
    <w:rsid w:val="00AB281E"/>
    <w:rsid w:val="00AB3D59"/>
    <w:rsid w:val="00AB3E0A"/>
    <w:rsid w:val="00AB40CB"/>
    <w:rsid w:val="00AB453A"/>
    <w:rsid w:val="00AB5126"/>
    <w:rsid w:val="00AB5559"/>
    <w:rsid w:val="00AB5B52"/>
    <w:rsid w:val="00AB6AA7"/>
    <w:rsid w:val="00AB7231"/>
    <w:rsid w:val="00AB7584"/>
    <w:rsid w:val="00AB7B6E"/>
    <w:rsid w:val="00AC06DB"/>
    <w:rsid w:val="00AC07C7"/>
    <w:rsid w:val="00AC0AD9"/>
    <w:rsid w:val="00AC0EC9"/>
    <w:rsid w:val="00AC1916"/>
    <w:rsid w:val="00AC215A"/>
    <w:rsid w:val="00AC21CB"/>
    <w:rsid w:val="00AC275B"/>
    <w:rsid w:val="00AC28FD"/>
    <w:rsid w:val="00AC4282"/>
    <w:rsid w:val="00AC52FF"/>
    <w:rsid w:val="00AC7861"/>
    <w:rsid w:val="00AC7C28"/>
    <w:rsid w:val="00AD1CA1"/>
    <w:rsid w:val="00AD23D0"/>
    <w:rsid w:val="00AD2D0D"/>
    <w:rsid w:val="00AD2FAE"/>
    <w:rsid w:val="00AD3022"/>
    <w:rsid w:val="00AD346C"/>
    <w:rsid w:val="00AD36C1"/>
    <w:rsid w:val="00AD506D"/>
    <w:rsid w:val="00AD5290"/>
    <w:rsid w:val="00AD570D"/>
    <w:rsid w:val="00AD6586"/>
    <w:rsid w:val="00AD6BF6"/>
    <w:rsid w:val="00AD6CB4"/>
    <w:rsid w:val="00AD75A5"/>
    <w:rsid w:val="00AD7D54"/>
    <w:rsid w:val="00AE0702"/>
    <w:rsid w:val="00AE1FDD"/>
    <w:rsid w:val="00AE208A"/>
    <w:rsid w:val="00AE239A"/>
    <w:rsid w:val="00AE311B"/>
    <w:rsid w:val="00AE349B"/>
    <w:rsid w:val="00AE365E"/>
    <w:rsid w:val="00AE3E42"/>
    <w:rsid w:val="00AE573B"/>
    <w:rsid w:val="00AE7481"/>
    <w:rsid w:val="00AE7483"/>
    <w:rsid w:val="00AE7A14"/>
    <w:rsid w:val="00AF0BF9"/>
    <w:rsid w:val="00AF1083"/>
    <w:rsid w:val="00AF1F84"/>
    <w:rsid w:val="00AF2651"/>
    <w:rsid w:val="00AF26E5"/>
    <w:rsid w:val="00AF31BD"/>
    <w:rsid w:val="00AF4684"/>
    <w:rsid w:val="00AF46EC"/>
    <w:rsid w:val="00AF475B"/>
    <w:rsid w:val="00AF4A80"/>
    <w:rsid w:val="00AF5B7F"/>
    <w:rsid w:val="00AF5BF8"/>
    <w:rsid w:val="00AF68AD"/>
    <w:rsid w:val="00B00093"/>
    <w:rsid w:val="00B0152E"/>
    <w:rsid w:val="00B02064"/>
    <w:rsid w:val="00B02412"/>
    <w:rsid w:val="00B02CC8"/>
    <w:rsid w:val="00B0393C"/>
    <w:rsid w:val="00B03D6F"/>
    <w:rsid w:val="00B03EBA"/>
    <w:rsid w:val="00B053BE"/>
    <w:rsid w:val="00B0549F"/>
    <w:rsid w:val="00B06380"/>
    <w:rsid w:val="00B066CC"/>
    <w:rsid w:val="00B06B01"/>
    <w:rsid w:val="00B074E9"/>
    <w:rsid w:val="00B101B5"/>
    <w:rsid w:val="00B10276"/>
    <w:rsid w:val="00B128D7"/>
    <w:rsid w:val="00B13B0F"/>
    <w:rsid w:val="00B13CF5"/>
    <w:rsid w:val="00B14727"/>
    <w:rsid w:val="00B14C5D"/>
    <w:rsid w:val="00B14E45"/>
    <w:rsid w:val="00B14FDA"/>
    <w:rsid w:val="00B1630E"/>
    <w:rsid w:val="00B16559"/>
    <w:rsid w:val="00B16C9E"/>
    <w:rsid w:val="00B16D89"/>
    <w:rsid w:val="00B170F9"/>
    <w:rsid w:val="00B17102"/>
    <w:rsid w:val="00B17BE0"/>
    <w:rsid w:val="00B17F8A"/>
    <w:rsid w:val="00B2005C"/>
    <w:rsid w:val="00B207BA"/>
    <w:rsid w:val="00B20A13"/>
    <w:rsid w:val="00B21D0F"/>
    <w:rsid w:val="00B23DB2"/>
    <w:rsid w:val="00B2431A"/>
    <w:rsid w:val="00B245EA"/>
    <w:rsid w:val="00B249BB"/>
    <w:rsid w:val="00B25195"/>
    <w:rsid w:val="00B25904"/>
    <w:rsid w:val="00B2693B"/>
    <w:rsid w:val="00B27D15"/>
    <w:rsid w:val="00B31B3F"/>
    <w:rsid w:val="00B33264"/>
    <w:rsid w:val="00B334AB"/>
    <w:rsid w:val="00B34CCC"/>
    <w:rsid w:val="00B34DFF"/>
    <w:rsid w:val="00B35210"/>
    <w:rsid w:val="00B359B1"/>
    <w:rsid w:val="00B35C86"/>
    <w:rsid w:val="00B364DA"/>
    <w:rsid w:val="00B37457"/>
    <w:rsid w:val="00B400C1"/>
    <w:rsid w:val="00B403AD"/>
    <w:rsid w:val="00B40474"/>
    <w:rsid w:val="00B407A5"/>
    <w:rsid w:val="00B40953"/>
    <w:rsid w:val="00B40B69"/>
    <w:rsid w:val="00B413EB"/>
    <w:rsid w:val="00B41B48"/>
    <w:rsid w:val="00B428F0"/>
    <w:rsid w:val="00B42AF8"/>
    <w:rsid w:val="00B42D39"/>
    <w:rsid w:val="00B43C34"/>
    <w:rsid w:val="00B44216"/>
    <w:rsid w:val="00B4481E"/>
    <w:rsid w:val="00B4515A"/>
    <w:rsid w:val="00B45537"/>
    <w:rsid w:val="00B46268"/>
    <w:rsid w:val="00B46F9C"/>
    <w:rsid w:val="00B47D35"/>
    <w:rsid w:val="00B50209"/>
    <w:rsid w:val="00B50C23"/>
    <w:rsid w:val="00B52364"/>
    <w:rsid w:val="00B52DBC"/>
    <w:rsid w:val="00B53436"/>
    <w:rsid w:val="00B53E82"/>
    <w:rsid w:val="00B5436B"/>
    <w:rsid w:val="00B54F9D"/>
    <w:rsid w:val="00B55473"/>
    <w:rsid w:val="00B5576F"/>
    <w:rsid w:val="00B559A9"/>
    <w:rsid w:val="00B567F8"/>
    <w:rsid w:val="00B57419"/>
    <w:rsid w:val="00B57B7B"/>
    <w:rsid w:val="00B60984"/>
    <w:rsid w:val="00B615C1"/>
    <w:rsid w:val="00B61E22"/>
    <w:rsid w:val="00B631C9"/>
    <w:rsid w:val="00B63353"/>
    <w:rsid w:val="00B63C0C"/>
    <w:rsid w:val="00B63D57"/>
    <w:rsid w:val="00B64250"/>
    <w:rsid w:val="00B64876"/>
    <w:rsid w:val="00B64985"/>
    <w:rsid w:val="00B64C0D"/>
    <w:rsid w:val="00B64EFC"/>
    <w:rsid w:val="00B6558D"/>
    <w:rsid w:val="00B6590C"/>
    <w:rsid w:val="00B66FDC"/>
    <w:rsid w:val="00B70950"/>
    <w:rsid w:val="00B7182C"/>
    <w:rsid w:val="00B71EA5"/>
    <w:rsid w:val="00B723BA"/>
    <w:rsid w:val="00B72793"/>
    <w:rsid w:val="00B72924"/>
    <w:rsid w:val="00B741B2"/>
    <w:rsid w:val="00B74224"/>
    <w:rsid w:val="00B756F1"/>
    <w:rsid w:val="00B770A7"/>
    <w:rsid w:val="00B775B3"/>
    <w:rsid w:val="00B77B28"/>
    <w:rsid w:val="00B77F04"/>
    <w:rsid w:val="00B80114"/>
    <w:rsid w:val="00B806D0"/>
    <w:rsid w:val="00B808FE"/>
    <w:rsid w:val="00B80A75"/>
    <w:rsid w:val="00B81B48"/>
    <w:rsid w:val="00B832BF"/>
    <w:rsid w:val="00B8373B"/>
    <w:rsid w:val="00B83D5A"/>
    <w:rsid w:val="00B843BD"/>
    <w:rsid w:val="00B8541F"/>
    <w:rsid w:val="00B869BC"/>
    <w:rsid w:val="00B91601"/>
    <w:rsid w:val="00B91F8C"/>
    <w:rsid w:val="00B9238D"/>
    <w:rsid w:val="00B93AE6"/>
    <w:rsid w:val="00B9415A"/>
    <w:rsid w:val="00B978B1"/>
    <w:rsid w:val="00BA1289"/>
    <w:rsid w:val="00BA1675"/>
    <w:rsid w:val="00BA1943"/>
    <w:rsid w:val="00BA22D4"/>
    <w:rsid w:val="00BA2A90"/>
    <w:rsid w:val="00BA2EAF"/>
    <w:rsid w:val="00BA3A65"/>
    <w:rsid w:val="00BA411D"/>
    <w:rsid w:val="00BA4E1C"/>
    <w:rsid w:val="00BA5CBE"/>
    <w:rsid w:val="00BA67C8"/>
    <w:rsid w:val="00BA6B2C"/>
    <w:rsid w:val="00BA741A"/>
    <w:rsid w:val="00BB040A"/>
    <w:rsid w:val="00BB056B"/>
    <w:rsid w:val="00BB0976"/>
    <w:rsid w:val="00BB123B"/>
    <w:rsid w:val="00BB12D6"/>
    <w:rsid w:val="00BB19A4"/>
    <w:rsid w:val="00BB19BC"/>
    <w:rsid w:val="00BB1A0E"/>
    <w:rsid w:val="00BB22B9"/>
    <w:rsid w:val="00BB25B6"/>
    <w:rsid w:val="00BB2EE5"/>
    <w:rsid w:val="00BB3000"/>
    <w:rsid w:val="00BB3381"/>
    <w:rsid w:val="00BB419B"/>
    <w:rsid w:val="00BB5294"/>
    <w:rsid w:val="00BB53DD"/>
    <w:rsid w:val="00BB5C3D"/>
    <w:rsid w:val="00BB5F30"/>
    <w:rsid w:val="00BB652C"/>
    <w:rsid w:val="00BB66EC"/>
    <w:rsid w:val="00BB6D86"/>
    <w:rsid w:val="00BC073A"/>
    <w:rsid w:val="00BC1514"/>
    <w:rsid w:val="00BC1756"/>
    <w:rsid w:val="00BC243F"/>
    <w:rsid w:val="00BC2E11"/>
    <w:rsid w:val="00BC31B5"/>
    <w:rsid w:val="00BC31F0"/>
    <w:rsid w:val="00BC3791"/>
    <w:rsid w:val="00BC3A70"/>
    <w:rsid w:val="00BC5219"/>
    <w:rsid w:val="00BC58AF"/>
    <w:rsid w:val="00BC61A2"/>
    <w:rsid w:val="00BC736B"/>
    <w:rsid w:val="00BC7449"/>
    <w:rsid w:val="00BD0B03"/>
    <w:rsid w:val="00BD24E4"/>
    <w:rsid w:val="00BD276C"/>
    <w:rsid w:val="00BD28FE"/>
    <w:rsid w:val="00BD2F61"/>
    <w:rsid w:val="00BD37D2"/>
    <w:rsid w:val="00BD44A1"/>
    <w:rsid w:val="00BD5001"/>
    <w:rsid w:val="00BD52AA"/>
    <w:rsid w:val="00BD5CE9"/>
    <w:rsid w:val="00BD5D15"/>
    <w:rsid w:val="00BD66FF"/>
    <w:rsid w:val="00BD7FCF"/>
    <w:rsid w:val="00BE03CE"/>
    <w:rsid w:val="00BE056B"/>
    <w:rsid w:val="00BE07DB"/>
    <w:rsid w:val="00BE0AC4"/>
    <w:rsid w:val="00BE1B76"/>
    <w:rsid w:val="00BE3886"/>
    <w:rsid w:val="00BE390A"/>
    <w:rsid w:val="00BE3AFA"/>
    <w:rsid w:val="00BE3CD7"/>
    <w:rsid w:val="00BE41EA"/>
    <w:rsid w:val="00BE4747"/>
    <w:rsid w:val="00BE509F"/>
    <w:rsid w:val="00BE68BE"/>
    <w:rsid w:val="00BE6AF8"/>
    <w:rsid w:val="00BE709C"/>
    <w:rsid w:val="00BE710D"/>
    <w:rsid w:val="00BF07AC"/>
    <w:rsid w:val="00BF0926"/>
    <w:rsid w:val="00BF1065"/>
    <w:rsid w:val="00BF15DC"/>
    <w:rsid w:val="00BF19B7"/>
    <w:rsid w:val="00BF1E78"/>
    <w:rsid w:val="00BF2256"/>
    <w:rsid w:val="00BF3155"/>
    <w:rsid w:val="00BF32B1"/>
    <w:rsid w:val="00BF3FBE"/>
    <w:rsid w:val="00BF429A"/>
    <w:rsid w:val="00BF49AD"/>
    <w:rsid w:val="00BF4AC4"/>
    <w:rsid w:val="00BF4AF3"/>
    <w:rsid w:val="00BF58A5"/>
    <w:rsid w:val="00BF5C7C"/>
    <w:rsid w:val="00BF5EF0"/>
    <w:rsid w:val="00BF6B58"/>
    <w:rsid w:val="00C0033F"/>
    <w:rsid w:val="00C01755"/>
    <w:rsid w:val="00C026E0"/>
    <w:rsid w:val="00C02D61"/>
    <w:rsid w:val="00C02E5C"/>
    <w:rsid w:val="00C02E60"/>
    <w:rsid w:val="00C03434"/>
    <w:rsid w:val="00C034BF"/>
    <w:rsid w:val="00C03BFA"/>
    <w:rsid w:val="00C03F21"/>
    <w:rsid w:val="00C04465"/>
    <w:rsid w:val="00C044AD"/>
    <w:rsid w:val="00C048A5"/>
    <w:rsid w:val="00C04980"/>
    <w:rsid w:val="00C0538B"/>
    <w:rsid w:val="00C056E2"/>
    <w:rsid w:val="00C05CCE"/>
    <w:rsid w:val="00C06865"/>
    <w:rsid w:val="00C12017"/>
    <w:rsid w:val="00C1271A"/>
    <w:rsid w:val="00C131D0"/>
    <w:rsid w:val="00C13459"/>
    <w:rsid w:val="00C13DEB"/>
    <w:rsid w:val="00C1552A"/>
    <w:rsid w:val="00C15C12"/>
    <w:rsid w:val="00C15E7E"/>
    <w:rsid w:val="00C175F2"/>
    <w:rsid w:val="00C1777F"/>
    <w:rsid w:val="00C206A3"/>
    <w:rsid w:val="00C210FC"/>
    <w:rsid w:val="00C2126B"/>
    <w:rsid w:val="00C21B2C"/>
    <w:rsid w:val="00C21C67"/>
    <w:rsid w:val="00C21D1D"/>
    <w:rsid w:val="00C22418"/>
    <w:rsid w:val="00C2366A"/>
    <w:rsid w:val="00C2389C"/>
    <w:rsid w:val="00C24109"/>
    <w:rsid w:val="00C24E0C"/>
    <w:rsid w:val="00C25395"/>
    <w:rsid w:val="00C2547E"/>
    <w:rsid w:val="00C27F3B"/>
    <w:rsid w:val="00C30249"/>
    <w:rsid w:val="00C30A05"/>
    <w:rsid w:val="00C31BF2"/>
    <w:rsid w:val="00C32220"/>
    <w:rsid w:val="00C33127"/>
    <w:rsid w:val="00C336D4"/>
    <w:rsid w:val="00C340F0"/>
    <w:rsid w:val="00C34809"/>
    <w:rsid w:val="00C34C19"/>
    <w:rsid w:val="00C34F3C"/>
    <w:rsid w:val="00C35214"/>
    <w:rsid w:val="00C36039"/>
    <w:rsid w:val="00C3676A"/>
    <w:rsid w:val="00C36BF8"/>
    <w:rsid w:val="00C3747B"/>
    <w:rsid w:val="00C37AD5"/>
    <w:rsid w:val="00C37D02"/>
    <w:rsid w:val="00C41514"/>
    <w:rsid w:val="00C41F5F"/>
    <w:rsid w:val="00C42C70"/>
    <w:rsid w:val="00C43340"/>
    <w:rsid w:val="00C433A1"/>
    <w:rsid w:val="00C44810"/>
    <w:rsid w:val="00C44A30"/>
    <w:rsid w:val="00C4514D"/>
    <w:rsid w:val="00C45DF3"/>
    <w:rsid w:val="00C45E29"/>
    <w:rsid w:val="00C46A44"/>
    <w:rsid w:val="00C46AF2"/>
    <w:rsid w:val="00C46B53"/>
    <w:rsid w:val="00C47999"/>
    <w:rsid w:val="00C47E70"/>
    <w:rsid w:val="00C5064C"/>
    <w:rsid w:val="00C50EE0"/>
    <w:rsid w:val="00C510D6"/>
    <w:rsid w:val="00C51E57"/>
    <w:rsid w:val="00C52BE4"/>
    <w:rsid w:val="00C52CF1"/>
    <w:rsid w:val="00C538AC"/>
    <w:rsid w:val="00C54AA0"/>
    <w:rsid w:val="00C55C07"/>
    <w:rsid w:val="00C5655F"/>
    <w:rsid w:val="00C5667B"/>
    <w:rsid w:val="00C5680B"/>
    <w:rsid w:val="00C568DD"/>
    <w:rsid w:val="00C573ED"/>
    <w:rsid w:val="00C5753C"/>
    <w:rsid w:val="00C603DB"/>
    <w:rsid w:val="00C608DD"/>
    <w:rsid w:val="00C60922"/>
    <w:rsid w:val="00C60B51"/>
    <w:rsid w:val="00C60F1D"/>
    <w:rsid w:val="00C6111D"/>
    <w:rsid w:val="00C62448"/>
    <w:rsid w:val="00C62FEC"/>
    <w:rsid w:val="00C63110"/>
    <w:rsid w:val="00C63906"/>
    <w:rsid w:val="00C6390A"/>
    <w:rsid w:val="00C64445"/>
    <w:rsid w:val="00C64A07"/>
    <w:rsid w:val="00C64E67"/>
    <w:rsid w:val="00C651C3"/>
    <w:rsid w:val="00C65CB1"/>
    <w:rsid w:val="00C65E27"/>
    <w:rsid w:val="00C667D8"/>
    <w:rsid w:val="00C66B5B"/>
    <w:rsid w:val="00C672B7"/>
    <w:rsid w:val="00C67942"/>
    <w:rsid w:val="00C7018D"/>
    <w:rsid w:val="00C7031A"/>
    <w:rsid w:val="00C70CB2"/>
    <w:rsid w:val="00C712E0"/>
    <w:rsid w:val="00C71563"/>
    <w:rsid w:val="00C721D5"/>
    <w:rsid w:val="00C7261D"/>
    <w:rsid w:val="00C727AA"/>
    <w:rsid w:val="00C7303D"/>
    <w:rsid w:val="00C7357B"/>
    <w:rsid w:val="00C736AC"/>
    <w:rsid w:val="00C74691"/>
    <w:rsid w:val="00C74BA9"/>
    <w:rsid w:val="00C75632"/>
    <w:rsid w:val="00C75DB0"/>
    <w:rsid w:val="00C764D0"/>
    <w:rsid w:val="00C772D4"/>
    <w:rsid w:val="00C776D3"/>
    <w:rsid w:val="00C800B4"/>
    <w:rsid w:val="00C814BB"/>
    <w:rsid w:val="00C822C4"/>
    <w:rsid w:val="00C824D8"/>
    <w:rsid w:val="00C82EA7"/>
    <w:rsid w:val="00C82F9F"/>
    <w:rsid w:val="00C838A0"/>
    <w:rsid w:val="00C8403C"/>
    <w:rsid w:val="00C841EE"/>
    <w:rsid w:val="00C845E6"/>
    <w:rsid w:val="00C84AAE"/>
    <w:rsid w:val="00C858EA"/>
    <w:rsid w:val="00C85AFF"/>
    <w:rsid w:val="00C85C39"/>
    <w:rsid w:val="00C85F17"/>
    <w:rsid w:val="00C8657D"/>
    <w:rsid w:val="00C871C3"/>
    <w:rsid w:val="00C91124"/>
    <w:rsid w:val="00C91D5D"/>
    <w:rsid w:val="00C9210A"/>
    <w:rsid w:val="00C92D6D"/>
    <w:rsid w:val="00C94186"/>
    <w:rsid w:val="00C9476A"/>
    <w:rsid w:val="00C94FEA"/>
    <w:rsid w:val="00C958AF"/>
    <w:rsid w:val="00C96DF3"/>
    <w:rsid w:val="00C9714B"/>
    <w:rsid w:val="00C97933"/>
    <w:rsid w:val="00C97935"/>
    <w:rsid w:val="00CA0A37"/>
    <w:rsid w:val="00CA0B75"/>
    <w:rsid w:val="00CA1061"/>
    <w:rsid w:val="00CA114B"/>
    <w:rsid w:val="00CA1657"/>
    <w:rsid w:val="00CA18A1"/>
    <w:rsid w:val="00CA191D"/>
    <w:rsid w:val="00CA1B11"/>
    <w:rsid w:val="00CA2E54"/>
    <w:rsid w:val="00CA348B"/>
    <w:rsid w:val="00CA3BD1"/>
    <w:rsid w:val="00CA45E7"/>
    <w:rsid w:val="00CA4B85"/>
    <w:rsid w:val="00CA4C7E"/>
    <w:rsid w:val="00CA56B2"/>
    <w:rsid w:val="00CA57F7"/>
    <w:rsid w:val="00CA6455"/>
    <w:rsid w:val="00CA7001"/>
    <w:rsid w:val="00CA700F"/>
    <w:rsid w:val="00CA7723"/>
    <w:rsid w:val="00CA7A90"/>
    <w:rsid w:val="00CA7D56"/>
    <w:rsid w:val="00CA7E8C"/>
    <w:rsid w:val="00CB0D08"/>
    <w:rsid w:val="00CB0EAE"/>
    <w:rsid w:val="00CB20E5"/>
    <w:rsid w:val="00CB23D8"/>
    <w:rsid w:val="00CB25A1"/>
    <w:rsid w:val="00CB3020"/>
    <w:rsid w:val="00CB30C3"/>
    <w:rsid w:val="00CB33E9"/>
    <w:rsid w:val="00CB347A"/>
    <w:rsid w:val="00CB3D26"/>
    <w:rsid w:val="00CB3E4D"/>
    <w:rsid w:val="00CB50D7"/>
    <w:rsid w:val="00CB51C8"/>
    <w:rsid w:val="00CB5BA7"/>
    <w:rsid w:val="00CB5FD4"/>
    <w:rsid w:val="00CB6A09"/>
    <w:rsid w:val="00CB6B3A"/>
    <w:rsid w:val="00CB7D9B"/>
    <w:rsid w:val="00CC0088"/>
    <w:rsid w:val="00CC0221"/>
    <w:rsid w:val="00CC04C5"/>
    <w:rsid w:val="00CC1021"/>
    <w:rsid w:val="00CC3212"/>
    <w:rsid w:val="00CC335E"/>
    <w:rsid w:val="00CC38F3"/>
    <w:rsid w:val="00CC3C78"/>
    <w:rsid w:val="00CC3FAA"/>
    <w:rsid w:val="00CC450F"/>
    <w:rsid w:val="00CC5912"/>
    <w:rsid w:val="00CC6F4F"/>
    <w:rsid w:val="00CC7468"/>
    <w:rsid w:val="00CC74BF"/>
    <w:rsid w:val="00CD138E"/>
    <w:rsid w:val="00CD1ADA"/>
    <w:rsid w:val="00CD2431"/>
    <w:rsid w:val="00CD24D0"/>
    <w:rsid w:val="00CD3270"/>
    <w:rsid w:val="00CD367D"/>
    <w:rsid w:val="00CD42E5"/>
    <w:rsid w:val="00CD49D4"/>
    <w:rsid w:val="00CD5098"/>
    <w:rsid w:val="00CD56EF"/>
    <w:rsid w:val="00CD61E3"/>
    <w:rsid w:val="00CD7CDB"/>
    <w:rsid w:val="00CE0370"/>
    <w:rsid w:val="00CE07A6"/>
    <w:rsid w:val="00CE1575"/>
    <w:rsid w:val="00CE2BBD"/>
    <w:rsid w:val="00CE3588"/>
    <w:rsid w:val="00CE395C"/>
    <w:rsid w:val="00CE4338"/>
    <w:rsid w:val="00CE6424"/>
    <w:rsid w:val="00CE6C0C"/>
    <w:rsid w:val="00CE7040"/>
    <w:rsid w:val="00CE71F4"/>
    <w:rsid w:val="00CE73E2"/>
    <w:rsid w:val="00CE7660"/>
    <w:rsid w:val="00CE793C"/>
    <w:rsid w:val="00CE7C2A"/>
    <w:rsid w:val="00CF0908"/>
    <w:rsid w:val="00CF0FB3"/>
    <w:rsid w:val="00CF1DE4"/>
    <w:rsid w:val="00CF1E9D"/>
    <w:rsid w:val="00CF224F"/>
    <w:rsid w:val="00CF3B7F"/>
    <w:rsid w:val="00CF3E5D"/>
    <w:rsid w:val="00CF4AC3"/>
    <w:rsid w:val="00CF534D"/>
    <w:rsid w:val="00CF540C"/>
    <w:rsid w:val="00CF627A"/>
    <w:rsid w:val="00CF674F"/>
    <w:rsid w:val="00CF70A7"/>
    <w:rsid w:val="00CF7380"/>
    <w:rsid w:val="00D00093"/>
    <w:rsid w:val="00D00746"/>
    <w:rsid w:val="00D008B8"/>
    <w:rsid w:val="00D00BDB"/>
    <w:rsid w:val="00D014DE"/>
    <w:rsid w:val="00D02C93"/>
    <w:rsid w:val="00D036F0"/>
    <w:rsid w:val="00D0493D"/>
    <w:rsid w:val="00D05762"/>
    <w:rsid w:val="00D073DB"/>
    <w:rsid w:val="00D1038F"/>
    <w:rsid w:val="00D12573"/>
    <w:rsid w:val="00D12F47"/>
    <w:rsid w:val="00D130B0"/>
    <w:rsid w:val="00D1365C"/>
    <w:rsid w:val="00D137FF"/>
    <w:rsid w:val="00D13D94"/>
    <w:rsid w:val="00D14025"/>
    <w:rsid w:val="00D14A0B"/>
    <w:rsid w:val="00D1538C"/>
    <w:rsid w:val="00D153CC"/>
    <w:rsid w:val="00D15DD6"/>
    <w:rsid w:val="00D15E22"/>
    <w:rsid w:val="00D16923"/>
    <w:rsid w:val="00D16CAC"/>
    <w:rsid w:val="00D171CD"/>
    <w:rsid w:val="00D17F18"/>
    <w:rsid w:val="00D20CEE"/>
    <w:rsid w:val="00D21792"/>
    <w:rsid w:val="00D21CD4"/>
    <w:rsid w:val="00D21FE1"/>
    <w:rsid w:val="00D22D10"/>
    <w:rsid w:val="00D232B9"/>
    <w:rsid w:val="00D2357D"/>
    <w:rsid w:val="00D23933"/>
    <w:rsid w:val="00D249E6"/>
    <w:rsid w:val="00D2551B"/>
    <w:rsid w:val="00D25760"/>
    <w:rsid w:val="00D2580F"/>
    <w:rsid w:val="00D258C6"/>
    <w:rsid w:val="00D2673D"/>
    <w:rsid w:val="00D269BA"/>
    <w:rsid w:val="00D26D90"/>
    <w:rsid w:val="00D2702B"/>
    <w:rsid w:val="00D27EFD"/>
    <w:rsid w:val="00D30503"/>
    <w:rsid w:val="00D3101B"/>
    <w:rsid w:val="00D31249"/>
    <w:rsid w:val="00D31F22"/>
    <w:rsid w:val="00D320AD"/>
    <w:rsid w:val="00D3262C"/>
    <w:rsid w:val="00D32AA5"/>
    <w:rsid w:val="00D32FD9"/>
    <w:rsid w:val="00D33085"/>
    <w:rsid w:val="00D333A3"/>
    <w:rsid w:val="00D33CB7"/>
    <w:rsid w:val="00D343A9"/>
    <w:rsid w:val="00D3490A"/>
    <w:rsid w:val="00D36074"/>
    <w:rsid w:val="00D36107"/>
    <w:rsid w:val="00D377BD"/>
    <w:rsid w:val="00D37C0E"/>
    <w:rsid w:val="00D37E06"/>
    <w:rsid w:val="00D40748"/>
    <w:rsid w:val="00D40F99"/>
    <w:rsid w:val="00D417BC"/>
    <w:rsid w:val="00D42047"/>
    <w:rsid w:val="00D425DD"/>
    <w:rsid w:val="00D4284B"/>
    <w:rsid w:val="00D4435A"/>
    <w:rsid w:val="00D4463E"/>
    <w:rsid w:val="00D4497E"/>
    <w:rsid w:val="00D45E06"/>
    <w:rsid w:val="00D45F46"/>
    <w:rsid w:val="00D460C1"/>
    <w:rsid w:val="00D461EA"/>
    <w:rsid w:val="00D46240"/>
    <w:rsid w:val="00D46EAB"/>
    <w:rsid w:val="00D47982"/>
    <w:rsid w:val="00D47C56"/>
    <w:rsid w:val="00D502CC"/>
    <w:rsid w:val="00D51AAC"/>
    <w:rsid w:val="00D52250"/>
    <w:rsid w:val="00D52769"/>
    <w:rsid w:val="00D538C6"/>
    <w:rsid w:val="00D53B7F"/>
    <w:rsid w:val="00D5473C"/>
    <w:rsid w:val="00D54979"/>
    <w:rsid w:val="00D55D46"/>
    <w:rsid w:val="00D562AA"/>
    <w:rsid w:val="00D57921"/>
    <w:rsid w:val="00D57CFB"/>
    <w:rsid w:val="00D6028C"/>
    <w:rsid w:val="00D603E0"/>
    <w:rsid w:val="00D61793"/>
    <w:rsid w:val="00D623C7"/>
    <w:rsid w:val="00D62AFB"/>
    <w:rsid w:val="00D63DD8"/>
    <w:rsid w:val="00D6490F"/>
    <w:rsid w:val="00D656AF"/>
    <w:rsid w:val="00D65768"/>
    <w:rsid w:val="00D65C08"/>
    <w:rsid w:val="00D666EA"/>
    <w:rsid w:val="00D6722C"/>
    <w:rsid w:val="00D67FEC"/>
    <w:rsid w:val="00D71AF2"/>
    <w:rsid w:val="00D71BBE"/>
    <w:rsid w:val="00D7279D"/>
    <w:rsid w:val="00D72B3B"/>
    <w:rsid w:val="00D72D05"/>
    <w:rsid w:val="00D72EC3"/>
    <w:rsid w:val="00D72FED"/>
    <w:rsid w:val="00D73D97"/>
    <w:rsid w:val="00D74F96"/>
    <w:rsid w:val="00D759D6"/>
    <w:rsid w:val="00D773B0"/>
    <w:rsid w:val="00D777EB"/>
    <w:rsid w:val="00D77AED"/>
    <w:rsid w:val="00D800F7"/>
    <w:rsid w:val="00D80A9D"/>
    <w:rsid w:val="00D812A9"/>
    <w:rsid w:val="00D816A3"/>
    <w:rsid w:val="00D81B69"/>
    <w:rsid w:val="00D8231C"/>
    <w:rsid w:val="00D82399"/>
    <w:rsid w:val="00D82DE9"/>
    <w:rsid w:val="00D83405"/>
    <w:rsid w:val="00D8398F"/>
    <w:rsid w:val="00D8417B"/>
    <w:rsid w:val="00D851C2"/>
    <w:rsid w:val="00D85BDE"/>
    <w:rsid w:val="00D86513"/>
    <w:rsid w:val="00D87B5B"/>
    <w:rsid w:val="00D87F56"/>
    <w:rsid w:val="00D904A6"/>
    <w:rsid w:val="00D91970"/>
    <w:rsid w:val="00D9222C"/>
    <w:rsid w:val="00D9456C"/>
    <w:rsid w:val="00D949CD"/>
    <w:rsid w:val="00D94ECB"/>
    <w:rsid w:val="00D9532A"/>
    <w:rsid w:val="00D95B63"/>
    <w:rsid w:val="00D95C12"/>
    <w:rsid w:val="00D95D37"/>
    <w:rsid w:val="00D962DD"/>
    <w:rsid w:val="00D968CD"/>
    <w:rsid w:val="00D96AED"/>
    <w:rsid w:val="00DA004A"/>
    <w:rsid w:val="00DA048B"/>
    <w:rsid w:val="00DA0BB2"/>
    <w:rsid w:val="00DA14F2"/>
    <w:rsid w:val="00DA3596"/>
    <w:rsid w:val="00DA432A"/>
    <w:rsid w:val="00DA4484"/>
    <w:rsid w:val="00DA4D46"/>
    <w:rsid w:val="00DA51AB"/>
    <w:rsid w:val="00DA5746"/>
    <w:rsid w:val="00DA57A3"/>
    <w:rsid w:val="00DA63C9"/>
    <w:rsid w:val="00DA7A12"/>
    <w:rsid w:val="00DB00F4"/>
    <w:rsid w:val="00DB0104"/>
    <w:rsid w:val="00DB0D44"/>
    <w:rsid w:val="00DB11F1"/>
    <w:rsid w:val="00DB1A19"/>
    <w:rsid w:val="00DB494C"/>
    <w:rsid w:val="00DB4ACF"/>
    <w:rsid w:val="00DB57EF"/>
    <w:rsid w:val="00DB698A"/>
    <w:rsid w:val="00DB721D"/>
    <w:rsid w:val="00DC080F"/>
    <w:rsid w:val="00DC0F26"/>
    <w:rsid w:val="00DC101E"/>
    <w:rsid w:val="00DC17F5"/>
    <w:rsid w:val="00DC1812"/>
    <w:rsid w:val="00DC28B0"/>
    <w:rsid w:val="00DC2985"/>
    <w:rsid w:val="00DC2EA3"/>
    <w:rsid w:val="00DC4707"/>
    <w:rsid w:val="00DC5455"/>
    <w:rsid w:val="00DC5634"/>
    <w:rsid w:val="00DC570C"/>
    <w:rsid w:val="00DC5947"/>
    <w:rsid w:val="00DC5A87"/>
    <w:rsid w:val="00DC6FBF"/>
    <w:rsid w:val="00DC71CA"/>
    <w:rsid w:val="00DC73CB"/>
    <w:rsid w:val="00DC77DD"/>
    <w:rsid w:val="00DD17B6"/>
    <w:rsid w:val="00DD1D5F"/>
    <w:rsid w:val="00DD2D10"/>
    <w:rsid w:val="00DD2F8C"/>
    <w:rsid w:val="00DD339C"/>
    <w:rsid w:val="00DD33D9"/>
    <w:rsid w:val="00DD357F"/>
    <w:rsid w:val="00DD4FB3"/>
    <w:rsid w:val="00DD5343"/>
    <w:rsid w:val="00DD535A"/>
    <w:rsid w:val="00DD5DC8"/>
    <w:rsid w:val="00DD5FFE"/>
    <w:rsid w:val="00DD6671"/>
    <w:rsid w:val="00DD6812"/>
    <w:rsid w:val="00DD724B"/>
    <w:rsid w:val="00DD7841"/>
    <w:rsid w:val="00DE03DF"/>
    <w:rsid w:val="00DE05C7"/>
    <w:rsid w:val="00DE0B2D"/>
    <w:rsid w:val="00DE0E03"/>
    <w:rsid w:val="00DE1B8B"/>
    <w:rsid w:val="00DE1DB5"/>
    <w:rsid w:val="00DE2D7B"/>
    <w:rsid w:val="00DE3630"/>
    <w:rsid w:val="00DE37C5"/>
    <w:rsid w:val="00DE3BE2"/>
    <w:rsid w:val="00DE4243"/>
    <w:rsid w:val="00DE438E"/>
    <w:rsid w:val="00DE4C40"/>
    <w:rsid w:val="00DE610E"/>
    <w:rsid w:val="00DE71DD"/>
    <w:rsid w:val="00DF0132"/>
    <w:rsid w:val="00DF1173"/>
    <w:rsid w:val="00DF152E"/>
    <w:rsid w:val="00DF1C62"/>
    <w:rsid w:val="00DF2497"/>
    <w:rsid w:val="00DF2654"/>
    <w:rsid w:val="00DF3141"/>
    <w:rsid w:val="00DF38E5"/>
    <w:rsid w:val="00DF3CF2"/>
    <w:rsid w:val="00DF3FC8"/>
    <w:rsid w:val="00DF447B"/>
    <w:rsid w:val="00DF4791"/>
    <w:rsid w:val="00DF5704"/>
    <w:rsid w:val="00DF5BF7"/>
    <w:rsid w:val="00DF711A"/>
    <w:rsid w:val="00DF72C1"/>
    <w:rsid w:val="00DF72CF"/>
    <w:rsid w:val="00DF73EE"/>
    <w:rsid w:val="00DF742F"/>
    <w:rsid w:val="00E001EC"/>
    <w:rsid w:val="00E00CFF"/>
    <w:rsid w:val="00E01A5D"/>
    <w:rsid w:val="00E01C40"/>
    <w:rsid w:val="00E02592"/>
    <w:rsid w:val="00E027D4"/>
    <w:rsid w:val="00E02F6F"/>
    <w:rsid w:val="00E03205"/>
    <w:rsid w:val="00E0331F"/>
    <w:rsid w:val="00E03711"/>
    <w:rsid w:val="00E0442E"/>
    <w:rsid w:val="00E05547"/>
    <w:rsid w:val="00E058FF"/>
    <w:rsid w:val="00E06311"/>
    <w:rsid w:val="00E0633E"/>
    <w:rsid w:val="00E067F0"/>
    <w:rsid w:val="00E06900"/>
    <w:rsid w:val="00E069BF"/>
    <w:rsid w:val="00E06D28"/>
    <w:rsid w:val="00E06FBE"/>
    <w:rsid w:val="00E07D55"/>
    <w:rsid w:val="00E10584"/>
    <w:rsid w:val="00E10D55"/>
    <w:rsid w:val="00E11DC2"/>
    <w:rsid w:val="00E12890"/>
    <w:rsid w:val="00E130FA"/>
    <w:rsid w:val="00E13739"/>
    <w:rsid w:val="00E13AA4"/>
    <w:rsid w:val="00E13FEE"/>
    <w:rsid w:val="00E14228"/>
    <w:rsid w:val="00E15171"/>
    <w:rsid w:val="00E154B3"/>
    <w:rsid w:val="00E15A73"/>
    <w:rsid w:val="00E163E8"/>
    <w:rsid w:val="00E1742F"/>
    <w:rsid w:val="00E17C8D"/>
    <w:rsid w:val="00E20982"/>
    <w:rsid w:val="00E20B2F"/>
    <w:rsid w:val="00E20F21"/>
    <w:rsid w:val="00E2318A"/>
    <w:rsid w:val="00E236F7"/>
    <w:rsid w:val="00E23BC6"/>
    <w:rsid w:val="00E241B9"/>
    <w:rsid w:val="00E243C1"/>
    <w:rsid w:val="00E246C3"/>
    <w:rsid w:val="00E24B7F"/>
    <w:rsid w:val="00E24EB0"/>
    <w:rsid w:val="00E2556D"/>
    <w:rsid w:val="00E2585D"/>
    <w:rsid w:val="00E2595B"/>
    <w:rsid w:val="00E26B5E"/>
    <w:rsid w:val="00E276EC"/>
    <w:rsid w:val="00E3026B"/>
    <w:rsid w:val="00E30FA5"/>
    <w:rsid w:val="00E31772"/>
    <w:rsid w:val="00E31828"/>
    <w:rsid w:val="00E31E35"/>
    <w:rsid w:val="00E325F1"/>
    <w:rsid w:val="00E32620"/>
    <w:rsid w:val="00E33ACB"/>
    <w:rsid w:val="00E33DFB"/>
    <w:rsid w:val="00E33E66"/>
    <w:rsid w:val="00E341EF"/>
    <w:rsid w:val="00E34278"/>
    <w:rsid w:val="00E34B6B"/>
    <w:rsid w:val="00E34CE4"/>
    <w:rsid w:val="00E34FF7"/>
    <w:rsid w:val="00E35CF8"/>
    <w:rsid w:val="00E35E50"/>
    <w:rsid w:val="00E35EC3"/>
    <w:rsid w:val="00E364FE"/>
    <w:rsid w:val="00E36D7D"/>
    <w:rsid w:val="00E374B5"/>
    <w:rsid w:val="00E400DE"/>
    <w:rsid w:val="00E40380"/>
    <w:rsid w:val="00E406BD"/>
    <w:rsid w:val="00E40FDB"/>
    <w:rsid w:val="00E413A9"/>
    <w:rsid w:val="00E4142A"/>
    <w:rsid w:val="00E414C4"/>
    <w:rsid w:val="00E41741"/>
    <w:rsid w:val="00E42236"/>
    <w:rsid w:val="00E43337"/>
    <w:rsid w:val="00E43541"/>
    <w:rsid w:val="00E43C25"/>
    <w:rsid w:val="00E443A2"/>
    <w:rsid w:val="00E443CF"/>
    <w:rsid w:val="00E44499"/>
    <w:rsid w:val="00E450B6"/>
    <w:rsid w:val="00E45B1B"/>
    <w:rsid w:val="00E45CDE"/>
    <w:rsid w:val="00E46537"/>
    <w:rsid w:val="00E46CB2"/>
    <w:rsid w:val="00E472B9"/>
    <w:rsid w:val="00E474A7"/>
    <w:rsid w:val="00E51E1C"/>
    <w:rsid w:val="00E52F3B"/>
    <w:rsid w:val="00E542F8"/>
    <w:rsid w:val="00E546DE"/>
    <w:rsid w:val="00E54E0D"/>
    <w:rsid w:val="00E55044"/>
    <w:rsid w:val="00E55683"/>
    <w:rsid w:val="00E55A9F"/>
    <w:rsid w:val="00E566A0"/>
    <w:rsid w:val="00E57239"/>
    <w:rsid w:val="00E600E0"/>
    <w:rsid w:val="00E60618"/>
    <w:rsid w:val="00E612D9"/>
    <w:rsid w:val="00E61F29"/>
    <w:rsid w:val="00E61FF7"/>
    <w:rsid w:val="00E62035"/>
    <w:rsid w:val="00E63111"/>
    <w:rsid w:val="00E64ACF"/>
    <w:rsid w:val="00E65075"/>
    <w:rsid w:val="00E651F0"/>
    <w:rsid w:val="00E6534E"/>
    <w:rsid w:val="00E65914"/>
    <w:rsid w:val="00E65CC2"/>
    <w:rsid w:val="00E660CD"/>
    <w:rsid w:val="00E6638C"/>
    <w:rsid w:val="00E666CA"/>
    <w:rsid w:val="00E6673F"/>
    <w:rsid w:val="00E70280"/>
    <w:rsid w:val="00E70A90"/>
    <w:rsid w:val="00E717A0"/>
    <w:rsid w:val="00E71C6C"/>
    <w:rsid w:val="00E71C78"/>
    <w:rsid w:val="00E71CDF"/>
    <w:rsid w:val="00E72948"/>
    <w:rsid w:val="00E729DF"/>
    <w:rsid w:val="00E73350"/>
    <w:rsid w:val="00E734D5"/>
    <w:rsid w:val="00E740B1"/>
    <w:rsid w:val="00E74D43"/>
    <w:rsid w:val="00E750D2"/>
    <w:rsid w:val="00E7537B"/>
    <w:rsid w:val="00E76BC1"/>
    <w:rsid w:val="00E7755B"/>
    <w:rsid w:val="00E776BE"/>
    <w:rsid w:val="00E77D6A"/>
    <w:rsid w:val="00E77DDE"/>
    <w:rsid w:val="00E803E3"/>
    <w:rsid w:val="00E81368"/>
    <w:rsid w:val="00E81695"/>
    <w:rsid w:val="00E81EB5"/>
    <w:rsid w:val="00E82616"/>
    <w:rsid w:val="00E828EA"/>
    <w:rsid w:val="00E83036"/>
    <w:rsid w:val="00E8356E"/>
    <w:rsid w:val="00E8360D"/>
    <w:rsid w:val="00E84C17"/>
    <w:rsid w:val="00E8512F"/>
    <w:rsid w:val="00E86E02"/>
    <w:rsid w:val="00E86F64"/>
    <w:rsid w:val="00E87C42"/>
    <w:rsid w:val="00E87CC5"/>
    <w:rsid w:val="00E90015"/>
    <w:rsid w:val="00E9098E"/>
    <w:rsid w:val="00E9166F"/>
    <w:rsid w:val="00E9198C"/>
    <w:rsid w:val="00E91C1C"/>
    <w:rsid w:val="00E91D80"/>
    <w:rsid w:val="00E926D9"/>
    <w:rsid w:val="00E92F8E"/>
    <w:rsid w:val="00E92FC0"/>
    <w:rsid w:val="00E93FF7"/>
    <w:rsid w:val="00E9471E"/>
    <w:rsid w:val="00E948AB"/>
    <w:rsid w:val="00E9635F"/>
    <w:rsid w:val="00E96B90"/>
    <w:rsid w:val="00E976FB"/>
    <w:rsid w:val="00EA061F"/>
    <w:rsid w:val="00EA16FF"/>
    <w:rsid w:val="00EA34C3"/>
    <w:rsid w:val="00EA3C3F"/>
    <w:rsid w:val="00EA49EA"/>
    <w:rsid w:val="00EA4A93"/>
    <w:rsid w:val="00EA587D"/>
    <w:rsid w:val="00EA5B2B"/>
    <w:rsid w:val="00EA5FF9"/>
    <w:rsid w:val="00EA6DBF"/>
    <w:rsid w:val="00EA7260"/>
    <w:rsid w:val="00EA7540"/>
    <w:rsid w:val="00EA7BFA"/>
    <w:rsid w:val="00EA7EE5"/>
    <w:rsid w:val="00EB2CD9"/>
    <w:rsid w:val="00EB2D3F"/>
    <w:rsid w:val="00EB2FCE"/>
    <w:rsid w:val="00EB322F"/>
    <w:rsid w:val="00EB3BB9"/>
    <w:rsid w:val="00EB4675"/>
    <w:rsid w:val="00EB4E5B"/>
    <w:rsid w:val="00EB5283"/>
    <w:rsid w:val="00EB56B5"/>
    <w:rsid w:val="00EB57C9"/>
    <w:rsid w:val="00EB69E6"/>
    <w:rsid w:val="00EB6A44"/>
    <w:rsid w:val="00EB6B21"/>
    <w:rsid w:val="00EB6BC2"/>
    <w:rsid w:val="00EC0128"/>
    <w:rsid w:val="00EC0612"/>
    <w:rsid w:val="00EC1555"/>
    <w:rsid w:val="00EC1E0C"/>
    <w:rsid w:val="00EC20A8"/>
    <w:rsid w:val="00EC22C9"/>
    <w:rsid w:val="00EC4B08"/>
    <w:rsid w:val="00EC4B38"/>
    <w:rsid w:val="00EC5815"/>
    <w:rsid w:val="00EC5BF1"/>
    <w:rsid w:val="00EC65FD"/>
    <w:rsid w:val="00EC6C2B"/>
    <w:rsid w:val="00EC7181"/>
    <w:rsid w:val="00EC7461"/>
    <w:rsid w:val="00ED0A7D"/>
    <w:rsid w:val="00ED0B59"/>
    <w:rsid w:val="00ED20F8"/>
    <w:rsid w:val="00ED3677"/>
    <w:rsid w:val="00ED4250"/>
    <w:rsid w:val="00ED4425"/>
    <w:rsid w:val="00ED4A45"/>
    <w:rsid w:val="00ED5FC9"/>
    <w:rsid w:val="00ED65BD"/>
    <w:rsid w:val="00ED6A1C"/>
    <w:rsid w:val="00ED7785"/>
    <w:rsid w:val="00ED7CE8"/>
    <w:rsid w:val="00EE0433"/>
    <w:rsid w:val="00EE1646"/>
    <w:rsid w:val="00EE1E28"/>
    <w:rsid w:val="00EE1FF4"/>
    <w:rsid w:val="00EE2110"/>
    <w:rsid w:val="00EE2CC2"/>
    <w:rsid w:val="00EE3F7E"/>
    <w:rsid w:val="00EE425A"/>
    <w:rsid w:val="00EE4A40"/>
    <w:rsid w:val="00EE55BB"/>
    <w:rsid w:val="00EE5E17"/>
    <w:rsid w:val="00EF057D"/>
    <w:rsid w:val="00EF245C"/>
    <w:rsid w:val="00EF3817"/>
    <w:rsid w:val="00EF393F"/>
    <w:rsid w:val="00EF3E23"/>
    <w:rsid w:val="00EF4AD7"/>
    <w:rsid w:val="00EF4C98"/>
    <w:rsid w:val="00EF4E76"/>
    <w:rsid w:val="00EF5B46"/>
    <w:rsid w:val="00EF69B0"/>
    <w:rsid w:val="00F005E8"/>
    <w:rsid w:val="00F0080B"/>
    <w:rsid w:val="00F00A4F"/>
    <w:rsid w:val="00F00BBC"/>
    <w:rsid w:val="00F0177F"/>
    <w:rsid w:val="00F01AAD"/>
    <w:rsid w:val="00F02904"/>
    <w:rsid w:val="00F032EE"/>
    <w:rsid w:val="00F03429"/>
    <w:rsid w:val="00F0371A"/>
    <w:rsid w:val="00F03CF9"/>
    <w:rsid w:val="00F03DBB"/>
    <w:rsid w:val="00F03DC1"/>
    <w:rsid w:val="00F0468C"/>
    <w:rsid w:val="00F0516B"/>
    <w:rsid w:val="00F05416"/>
    <w:rsid w:val="00F05DBE"/>
    <w:rsid w:val="00F062C3"/>
    <w:rsid w:val="00F06A09"/>
    <w:rsid w:val="00F07226"/>
    <w:rsid w:val="00F07310"/>
    <w:rsid w:val="00F0798C"/>
    <w:rsid w:val="00F07A03"/>
    <w:rsid w:val="00F10DA2"/>
    <w:rsid w:val="00F12476"/>
    <w:rsid w:val="00F1255F"/>
    <w:rsid w:val="00F12CA8"/>
    <w:rsid w:val="00F12CC7"/>
    <w:rsid w:val="00F12E8B"/>
    <w:rsid w:val="00F1303C"/>
    <w:rsid w:val="00F14400"/>
    <w:rsid w:val="00F16021"/>
    <w:rsid w:val="00F16B2B"/>
    <w:rsid w:val="00F1715E"/>
    <w:rsid w:val="00F17787"/>
    <w:rsid w:val="00F17F65"/>
    <w:rsid w:val="00F2003F"/>
    <w:rsid w:val="00F2006C"/>
    <w:rsid w:val="00F20296"/>
    <w:rsid w:val="00F206F8"/>
    <w:rsid w:val="00F20C6D"/>
    <w:rsid w:val="00F2150E"/>
    <w:rsid w:val="00F21BA8"/>
    <w:rsid w:val="00F22038"/>
    <w:rsid w:val="00F23486"/>
    <w:rsid w:val="00F243B1"/>
    <w:rsid w:val="00F24615"/>
    <w:rsid w:val="00F2759B"/>
    <w:rsid w:val="00F277FB"/>
    <w:rsid w:val="00F278DF"/>
    <w:rsid w:val="00F3006A"/>
    <w:rsid w:val="00F30343"/>
    <w:rsid w:val="00F3091F"/>
    <w:rsid w:val="00F30D86"/>
    <w:rsid w:val="00F30FC2"/>
    <w:rsid w:val="00F31643"/>
    <w:rsid w:val="00F31761"/>
    <w:rsid w:val="00F31BC3"/>
    <w:rsid w:val="00F32578"/>
    <w:rsid w:val="00F327B9"/>
    <w:rsid w:val="00F3360B"/>
    <w:rsid w:val="00F33672"/>
    <w:rsid w:val="00F3453F"/>
    <w:rsid w:val="00F35592"/>
    <w:rsid w:val="00F356A0"/>
    <w:rsid w:val="00F35B87"/>
    <w:rsid w:val="00F35E7B"/>
    <w:rsid w:val="00F35F35"/>
    <w:rsid w:val="00F36A62"/>
    <w:rsid w:val="00F36C22"/>
    <w:rsid w:val="00F36ED3"/>
    <w:rsid w:val="00F37CE5"/>
    <w:rsid w:val="00F40336"/>
    <w:rsid w:val="00F428E7"/>
    <w:rsid w:val="00F42A0B"/>
    <w:rsid w:val="00F43909"/>
    <w:rsid w:val="00F4474D"/>
    <w:rsid w:val="00F4499D"/>
    <w:rsid w:val="00F45075"/>
    <w:rsid w:val="00F452B6"/>
    <w:rsid w:val="00F45BC4"/>
    <w:rsid w:val="00F45DB5"/>
    <w:rsid w:val="00F46FDD"/>
    <w:rsid w:val="00F47F53"/>
    <w:rsid w:val="00F501D1"/>
    <w:rsid w:val="00F51037"/>
    <w:rsid w:val="00F51D77"/>
    <w:rsid w:val="00F51E43"/>
    <w:rsid w:val="00F52A7D"/>
    <w:rsid w:val="00F52B15"/>
    <w:rsid w:val="00F53784"/>
    <w:rsid w:val="00F53DB6"/>
    <w:rsid w:val="00F542A4"/>
    <w:rsid w:val="00F55B7F"/>
    <w:rsid w:val="00F55C55"/>
    <w:rsid w:val="00F55F9D"/>
    <w:rsid w:val="00F56384"/>
    <w:rsid w:val="00F5696E"/>
    <w:rsid w:val="00F56D13"/>
    <w:rsid w:val="00F56D88"/>
    <w:rsid w:val="00F571EF"/>
    <w:rsid w:val="00F57B70"/>
    <w:rsid w:val="00F6013E"/>
    <w:rsid w:val="00F6123A"/>
    <w:rsid w:val="00F61FA2"/>
    <w:rsid w:val="00F62398"/>
    <w:rsid w:val="00F62612"/>
    <w:rsid w:val="00F6329F"/>
    <w:rsid w:val="00F6345A"/>
    <w:rsid w:val="00F63518"/>
    <w:rsid w:val="00F63907"/>
    <w:rsid w:val="00F63FA4"/>
    <w:rsid w:val="00F643AD"/>
    <w:rsid w:val="00F64750"/>
    <w:rsid w:val="00F64B1E"/>
    <w:rsid w:val="00F6694B"/>
    <w:rsid w:val="00F66B0D"/>
    <w:rsid w:val="00F672DB"/>
    <w:rsid w:val="00F703F4"/>
    <w:rsid w:val="00F70A25"/>
    <w:rsid w:val="00F70E96"/>
    <w:rsid w:val="00F71062"/>
    <w:rsid w:val="00F71160"/>
    <w:rsid w:val="00F7163E"/>
    <w:rsid w:val="00F72193"/>
    <w:rsid w:val="00F724B9"/>
    <w:rsid w:val="00F725C8"/>
    <w:rsid w:val="00F7305D"/>
    <w:rsid w:val="00F73B75"/>
    <w:rsid w:val="00F7490F"/>
    <w:rsid w:val="00F7528F"/>
    <w:rsid w:val="00F75371"/>
    <w:rsid w:val="00F76061"/>
    <w:rsid w:val="00F76169"/>
    <w:rsid w:val="00F76BBA"/>
    <w:rsid w:val="00F77137"/>
    <w:rsid w:val="00F77666"/>
    <w:rsid w:val="00F8063B"/>
    <w:rsid w:val="00F80701"/>
    <w:rsid w:val="00F81017"/>
    <w:rsid w:val="00F81D86"/>
    <w:rsid w:val="00F82A4B"/>
    <w:rsid w:val="00F833BD"/>
    <w:rsid w:val="00F83570"/>
    <w:rsid w:val="00F83E39"/>
    <w:rsid w:val="00F84239"/>
    <w:rsid w:val="00F843C2"/>
    <w:rsid w:val="00F8598E"/>
    <w:rsid w:val="00F85EA3"/>
    <w:rsid w:val="00F867C3"/>
    <w:rsid w:val="00F869DD"/>
    <w:rsid w:val="00F86C91"/>
    <w:rsid w:val="00F870ED"/>
    <w:rsid w:val="00F872CA"/>
    <w:rsid w:val="00F87E72"/>
    <w:rsid w:val="00F87F0C"/>
    <w:rsid w:val="00F87FE7"/>
    <w:rsid w:val="00F91EAE"/>
    <w:rsid w:val="00F922B0"/>
    <w:rsid w:val="00F92698"/>
    <w:rsid w:val="00F92733"/>
    <w:rsid w:val="00F93086"/>
    <w:rsid w:val="00F9386D"/>
    <w:rsid w:val="00F93B61"/>
    <w:rsid w:val="00F93DC5"/>
    <w:rsid w:val="00F9455A"/>
    <w:rsid w:val="00F94929"/>
    <w:rsid w:val="00F94CEC"/>
    <w:rsid w:val="00F95042"/>
    <w:rsid w:val="00F9563A"/>
    <w:rsid w:val="00F95BF7"/>
    <w:rsid w:val="00F96632"/>
    <w:rsid w:val="00F97AF4"/>
    <w:rsid w:val="00FA0248"/>
    <w:rsid w:val="00FA026C"/>
    <w:rsid w:val="00FA0611"/>
    <w:rsid w:val="00FA27EA"/>
    <w:rsid w:val="00FA36D2"/>
    <w:rsid w:val="00FA375E"/>
    <w:rsid w:val="00FA3DF0"/>
    <w:rsid w:val="00FA434A"/>
    <w:rsid w:val="00FA4459"/>
    <w:rsid w:val="00FA476A"/>
    <w:rsid w:val="00FA4CBB"/>
    <w:rsid w:val="00FA580D"/>
    <w:rsid w:val="00FA62AF"/>
    <w:rsid w:val="00FA6568"/>
    <w:rsid w:val="00FA678C"/>
    <w:rsid w:val="00FA6D6A"/>
    <w:rsid w:val="00FA75F0"/>
    <w:rsid w:val="00FB01D6"/>
    <w:rsid w:val="00FB0466"/>
    <w:rsid w:val="00FB0DC6"/>
    <w:rsid w:val="00FB18C6"/>
    <w:rsid w:val="00FB1D8C"/>
    <w:rsid w:val="00FB21EB"/>
    <w:rsid w:val="00FB29E8"/>
    <w:rsid w:val="00FB3A4E"/>
    <w:rsid w:val="00FB4584"/>
    <w:rsid w:val="00FB50A1"/>
    <w:rsid w:val="00FB636C"/>
    <w:rsid w:val="00FB64EF"/>
    <w:rsid w:val="00FB6D2F"/>
    <w:rsid w:val="00FB76B1"/>
    <w:rsid w:val="00FC001F"/>
    <w:rsid w:val="00FC09CC"/>
    <w:rsid w:val="00FC0CDD"/>
    <w:rsid w:val="00FC2A3C"/>
    <w:rsid w:val="00FC2BB8"/>
    <w:rsid w:val="00FC35B9"/>
    <w:rsid w:val="00FC362C"/>
    <w:rsid w:val="00FC3E7F"/>
    <w:rsid w:val="00FC4133"/>
    <w:rsid w:val="00FC4234"/>
    <w:rsid w:val="00FC4EF1"/>
    <w:rsid w:val="00FC511B"/>
    <w:rsid w:val="00FC53D4"/>
    <w:rsid w:val="00FC5465"/>
    <w:rsid w:val="00FC6091"/>
    <w:rsid w:val="00FC61EF"/>
    <w:rsid w:val="00FC63F0"/>
    <w:rsid w:val="00FC660E"/>
    <w:rsid w:val="00FC774F"/>
    <w:rsid w:val="00FC7C96"/>
    <w:rsid w:val="00FC7F79"/>
    <w:rsid w:val="00FD1317"/>
    <w:rsid w:val="00FD1709"/>
    <w:rsid w:val="00FD1C93"/>
    <w:rsid w:val="00FD217A"/>
    <w:rsid w:val="00FD28FD"/>
    <w:rsid w:val="00FD2FF7"/>
    <w:rsid w:val="00FD3BEB"/>
    <w:rsid w:val="00FD3CEB"/>
    <w:rsid w:val="00FD4400"/>
    <w:rsid w:val="00FD46C2"/>
    <w:rsid w:val="00FD4866"/>
    <w:rsid w:val="00FD5D4A"/>
    <w:rsid w:val="00FD5DC3"/>
    <w:rsid w:val="00FD62AD"/>
    <w:rsid w:val="00FD6E2E"/>
    <w:rsid w:val="00FD7275"/>
    <w:rsid w:val="00FE085C"/>
    <w:rsid w:val="00FE10FE"/>
    <w:rsid w:val="00FE17C0"/>
    <w:rsid w:val="00FE18B7"/>
    <w:rsid w:val="00FE1F62"/>
    <w:rsid w:val="00FE22B6"/>
    <w:rsid w:val="00FE24DF"/>
    <w:rsid w:val="00FE2710"/>
    <w:rsid w:val="00FE3016"/>
    <w:rsid w:val="00FE336C"/>
    <w:rsid w:val="00FE3A18"/>
    <w:rsid w:val="00FE3E3B"/>
    <w:rsid w:val="00FE4504"/>
    <w:rsid w:val="00FE6822"/>
    <w:rsid w:val="00FE68D2"/>
    <w:rsid w:val="00FE6EBA"/>
    <w:rsid w:val="00FE6FC5"/>
    <w:rsid w:val="00FE6FFF"/>
    <w:rsid w:val="00FE7648"/>
    <w:rsid w:val="00FE7706"/>
    <w:rsid w:val="00FE7716"/>
    <w:rsid w:val="00FE79D9"/>
    <w:rsid w:val="00FF0302"/>
    <w:rsid w:val="00FF0895"/>
    <w:rsid w:val="00FF0A89"/>
    <w:rsid w:val="00FF106A"/>
    <w:rsid w:val="00FF16F8"/>
    <w:rsid w:val="00FF1C98"/>
    <w:rsid w:val="00FF298A"/>
    <w:rsid w:val="00FF2B61"/>
    <w:rsid w:val="00FF3E9F"/>
    <w:rsid w:val="00FF4017"/>
    <w:rsid w:val="00FF44AB"/>
    <w:rsid w:val="00FF4DE2"/>
    <w:rsid w:val="00FF4FB1"/>
    <w:rsid w:val="00FF51DF"/>
    <w:rsid w:val="00FF595F"/>
    <w:rsid w:val="00FF5EE6"/>
    <w:rsid w:val="00FF774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D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TEPE\TEPE_2019\3.Mart.2019\TEPAV_Perakende_Anketi_Tanim_ve_Sonuclari_2019_0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TEPE\TEPE_2019\3.Mart.2019\TEPAV_Perakende_Anketi_Tanim_ve_Sonuclari_2019_00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TEPE\TEPE_2019\3.Mart.2019\TEPAV_Perakende_Anketi_Tanim_ve_Sonuclari_2019_00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susN20\Desktop\ENDEKS%20VE%20B&#220;LTENLER\TEPE\TEPE_2019\3.Mart.2019\TEPAV_Perakende_Anketi_Tanim_ve_Sonuclari_2019_00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TEPE\TEPE_2019\3.Mart.2019\TEPAV_Perakende_Anketi_Tanim_ve_Sonuclari_2019_00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KOPE\KOPE_2019\3.Mart.2019\Perakende_G&#252;ven_Endeksi_Anketi_Tanim_ve_Sonuclari_2019_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51557093425642E-2"/>
          <c:y val="0.27893175074183979"/>
          <c:w val="0.8837918096776366"/>
          <c:h val="0.55029857843332464"/>
        </c:manualLayout>
      </c:layout>
      <c:lineChart>
        <c:grouping val="standard"/>
        <c:varyColors val="0"/>
        <c:ser>
          <c:idx val="0"/>
          <c:order val="0"/>
          <c:tx>
            <c:strRef>
              <c:f>'TEPAV Perakende Güven Endeksi'!$A$3</c:f>
              <c:strCache>
                <c:ptCount val="1"/>
                <c:pt idx="0">
                  <c:v> TEPE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'TEPAV Perakende Güven Endeksi'!$DP$1:$EB$1</c:f>
              <c:numCache>
                <c:formatCode>[$-41F]mmmm\ yy;@</c:formatCode>
                <c:ptCount val="13"/>
                <c:pt idx="0">
                  <c:v>43162</c:v>
                </c:pt>
                <c:pt idx="1">
                  <c:v>43193</c:v>
                </c:pt>
                <c:pt idx="2">
                  <c:v>43223</c:v>
                </c:pt>
                <c:pt idx="3">
                  <c:v>43254</c:v>
                </c:pt>
                <c:pt idx="4">
                  <c:v>43284</c:v>
                </c:pt>
                <c:pt idx="5">
                  <c:v>43315</c:v>
                </c:pt>
                <c:pt idx="6">
                  <c:v>43346</c:v>
                </c:pt>
                <c:pt idx="7">
                  <c:v>43376</c:v>
                </c:pt>
                <c:pt idx="8">
                  <c:v>43407</c:v>
                </c:pt>
                <c:pt idx="9">
                  <c:v>43437</c:v>
                </c:pt>
                <c:pt idx="10">
                  <c:v>43468</c:v>
                </c:pt>
                <c:pt idx="11">
                  <c:v>43499</c:v>
                </c:pt>
                <c:pt idx="12">
                  <c:v>43527</c:v>
                </c:pt>
              </c:numCache>
            </c:numRef>
          </c:cat>
          <c:val>
            <c:numRef>
              <c:f>'TEPAV Perakende Güven Endeksi'!$DP$3:$EB$3</c:f>
              <c:numCache>
                <c:formatCode>0.0</c:formatCode>
                <c:ptCount val="13"/>
                <c:pt idx="0">
                  <c:v>-12.53723755596239</c:v>
                </c:pt>
                <c:pt idx="1">
                  <c:v>-16.780601728569433</c:v>
                </c:pt>
                <c:pt idx="2">
                  <c:v>-17.023087493085498</c:v>
                </c:pt>
                <c:pt idx="3">
                  <c:v>-14.063117528342458</c:v>
                </c:pt>
                <c:pt idx="4">
                  <c:v>-11.531368804362856</c:v>
                </c:pt>
                <c:pt idx="5">
                  <c:v>-15.853389692478231</c:v>
                </c:pt>
                <c:pt idx="6">
                  <c:v>-16.304318602830833</c:v>
                </c:pt>
                <c:pt idx="7">
                  <c:v>-16.845957769876133</c:v>
                </c:pt>
                <c:pt idx="8">
                  <c:v>-17.745197073629601</c:v>
                </c:pt>
                <c:pt idx="9">
                  <c:v>-5.4430858506624</c:v>
                </c:pt>
                <c:pt idx="10">
                  <c:v>-18.979224549882264</c:v>
                </c:pt>
                <c:pt idx="11">
                  <c:v>-21.747402570651669</c:v>
                </c:pt>
                <c:pt idx="12">
                  <c:v>-15.007907006025668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600320"/>
        <c:axId val="40601856"/>
      </c:lineChart>
      <c:dateAx>
        <c:axId val="4060032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40601856"/>
        <c:crosses val="autoZero"/>
        <c:auto val="1"/>
        <c:lblOffset val="100"/>
        <c:baseTimeUnit val="months"/>
      </c:dateAx>
      <c:valAx>
        <c:axId val="40601856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406003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78835600095443"/>
          <c:y val="0.88070043714430024"/>
          <c:w val="0.81662585621919481"/>
          <c:h val="8.9078391063186213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381987375545123E-2"/>
          <c:y val="0.27893175074183979"/>
          <c:w val="0.87117259929285651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'Soru 4'!$A$3</c:f>
              <c:strCache>
                <c:ptCount val="1"/>
                <c:pt idx="0">
                  <c:v> Türkiye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'Soru 4'!$DP$1:$EB$1</c:f>
              <c:numCache>
                <c:formatCode>[$-41F]mmmm\ yy;@</c:formatCode>
                <c:ptCount val="13"/>
                <c:pt idx="0">
                  <c:v>43162</c:v>
                </c:pt>
                <c:pt idx="1">
                  <c:v>43193</c:v>
                </c:pt>
                <c:pt idx="2">
                  <c:v>43223</c:v>
                </c:pt>
                <c:pt idx="3">
                  <c:v>43254</c:v>
                </c:pt>
                <c:pt idx="4">
                  <c:v>43284</c:v>
                </c:pt>
                <c:pt idx="5">
                  <c:v>43315</c:v>
                </c:pt>
                <c:pt idx="6">
                  <c:v>43346</c:v>
                </c:pt>
                <c:pt idx="7">
                  <c:v>43376</c:v>
                </c:pt>
                <c:pt idx="8">
                  <c:v>43407</c:v>
                </c:pt>
                <c:pt idx="9">
                  <c:v>43437</c:v>
                </c:pt>
                <c:pt idx="10">
                  <c:v>43468</c:v>
                </c:pt>
                <c:pt idx="11">
                  <c:v>43499</c:v>
                </c:pt>
                <c:pt idx="12">
                  <c:v>43527</c:v>
                </c:pt>
              </c:numCache>
            </c:numRef>
          </c:cat>
          <c:val>
            <c:numRef>
              <c:f>'Soru 4'!$DP$3:$EB$3</c:f>
              <c:numCache>
                <c:formatCode>0.0</c:formatCode>
                <c:ptCount val="13"/>
                <c:pt idx="0">
                  <c:v>-5.0715435450495701</c:v>
                </c:pt>
                <c:pt idx="1">
                  <c:v>-11.175983577226599</c:v>
                </c:pt>
                <c:pt idx="2">
                  <c:v>-14.3412525954008</c:v>
                </c:pt>
                <c:pt idx="3">
                  <c:v>-1.2861026919798699</c:v>
                </c:pt>
                <c:pt idx="4">
                  <c:v>-5.3660869967025704</c:v>
                </c:pt>
                <c:pt idx="5">
                  <c:v>-17.258033871865901</c:v>
                </c:pt>
                <c:pt idx="6">
                  <c:v>-15.2631817031378</c:v>
                </c:pt>
                <c:pt idx="7">
                  <c:v>-19.190599729676201</c:v>
                </c:pt>
                <c:pt idx="8">
                  <c:v>-15.735602889060001</c:v>
                </c:pt>
                <c:pt idx="9">
                  <c:v>18.583888808424302</c:v>
                </c:pt>
                <c:pt idx="10">
                  <c:v>-17.331467921439</c:v>
                </c:pt>
                <c:pt idx="11">
                  <c:v>-27.2748902701193</c:v>
                </c:pt>
                <c:pt idx="12">
                  <c:v>-11.1851302311425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'Soru 4'!$A$4</c:f>
              <c:strCache>
                <c:ptCount val="1"/>
                <c:pt idx="0">
                  <c:v> AB-28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'Soru 4'!$DP$1:$EB$1</c:f>
              <c:numCache>
                <c:formatCode>[$-41F]mmmm\ yy;@</c:formatCode>
                <c:ptCount val="13"/>
                <c:pt idx="0">
                  <c:v>43162</c:v>
                </c:pt>
                <c:pt idx="1">
                  <c:v>43193</c:v>
                </c:pt>
                <c:pt idx="2">
                  <c:v>43223</c:v>
                </c:pt>
                <c:pt idx="3">
                  <c:v>43254</c:v>
                </c:pt>
                <c:pt idx="4">
                  <c:v>43284</c:v>
                </c:pt>
                <c:pt idx="5">
                  <c:v>43315</c:v>
                </c:pt>
                <c:pt idx="6">
                  <c:v>43346</c:v>
                </c:pt>
                <c:pt idx="7">
                  <c:v>43376</c:v>
                </c:pt>
                <c:pt idx="8">
                  <c:v>43407</c:v>
                </c:pt>
                <c:pt idx="9">
                  <c:v>43437</c:v>
                </c:pt>
                <c:pt idx="10">
                  <c:v>43468</c:v>
                </c:pt>
                <c:pt idx="11">
                  <c:v>43499</c:v>
                </c:pt>
                <c:pt idx="12">
                  <c:v>43527</c:v>
                </c:pt>
              </c:numCache>
            </c:numRef>
          </c:cat>
          <c:val>
            <c:numRef>
              <c:f>'Soru 4'!$DP$4:$EB$4</c:f>
              <c:numCache>
                <c:formatCode>#,##0.0</c:formatCode>
                <c:ptCount val="13"/>
                <c:pt idx="0">
                  <c:v>14.5</c:v>
                </c:pt>
                <c:pt idx="1">
                  <c:v>14.1</c:v>
                </c:pt>
                <c:pt idx="2">
                  <c:v>15.3</c:v>
                </c:pt>
                <c:pt idx="3">
                  <c:v>16</c:v>
                </c:pt>
                <c:pt idx="4">
                  <c:v>14.8</c:v>
                </c:pt>
                <c:pt idx="5">
                  <c:v>16.399999999999999</c:v>
                </c:pt>
                <c:pt idx="6">
                  <c:v>15</c:v>
                </c:pt>
                <c:pt idx="7">
                  <c:v>11</c:v>
                </c:pt>
                <c:pt idx="8">
                  <c:v>13</c:v>
                </c:pt>
                <c:pt idx="9">
                  <c:v>8.6999999999999993</c:v>
                </c:pt>
                <c:pt idx="10">
                  <c:v>9.1</c:v>
                </c:pt>
                <c:pt idx="11">
                  <c:v>9.9</c:v>
                </c:pt>
                <c:pt idx="12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610048"/>
        <c:axId val="126234624"/>
      </c:lineChart>
      <c:dateAx>
        <c:axId val="40610048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26234624"/>
        <c:crosses val="autoZero"/>
        <c:auto val="1"/>
        <c:lblOffset val="100"/>
        <c:baseTimeUnit val="months"/>
      </c:dateAx>
      <c:valAx>
        <c:axId val="126234624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40610048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7.6619769636233487E-2"/>
          <c:y val="0.88287256735048592"/>
          <c:w val="0.89999991323401596"/>
          <c:h val="8.0637294920074765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51557093425611E-2"/>
          <c:y val="0.27893175074183979"/>
          <c:w val="0.89610630509750877"/>
          <c:h val="0.55029857843332464"/>
        </c:manualLayout>
      </c:layout>
      <c:lineChart>
        <c:grouping val="standard"/>
        <c:varyColors val="0"/>
        <c:ser>
          <c:idx val="0"/>
          <c:order val="0"/>
          <c:tx>
            <c:strRef>
              <c:f>'Soru 7'!$A$3</c:f>
              <c:strCache>
                <c:ptCount val="1"/>
                <c:pt idx="0">
                  <c:v> Türkiye</c:v>
                </c:pt>
              </c:strCache>
            </c:strRef>
          </c:tx>
          <c:spPr>
            <a:ln w="34925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'Soru 7'!$DP$1:$EB$1</c:f>
              <c:numCache>
                <c:formatCode>[$-41F]mmmm\ yy;@</c:formatCode>
                <c:ptCount val="13"/>
                <c:pt idx="0">
                  <c:v>43162</c:v>
                </c:pt>
                <c:pt idx="1">
                  <c:v>43193</c:v>
                </c:pt>
                <c:pt idx="2">
                  <c:v>43223</c:v>
                </c:pt>
                <c:pt idx="3">
                  <c:v>43254</c:v>
                </c:pt>
                <c:pt idx="4">
                  <c:v>43284</c:v>
                </c:pt>
                <c:pt idx="5">
                  <c:v>43315</c:v>
                </c:pt>
                <c:pt idx="6">
                  <c:v>43346</c:v>
                </c:pt>
                <c:pt idx="7">
                  <c:v>43376</c:v>
                </c:pt>
                <c:pt idx="8">
                  <c:v>43407</c:v>
                </c:pt>
                <c:pt idx="9">
                  <c:v>43437</c:v>
                </c:pt>
                <c:pt idx="10">
                  <c:v>43468</c:v>
                </c:pt>
                <c:pt idx="11">
                  <c:v>43499</c:v>
                </c:pt>
                <c:pt idx="12">
                  <c:v>43527</c:v>
                </c:pt>
              </c:numCache>
            </c:numRef>
          </c:cat>
          <c:val>
            <c:numRef>
              <c:f>'Soru 7'!$DP$3:$EB$3</c:f>
              <c:numCache>
                <c:formatCode>0.0</c:formatCode>
                <c:ptCount val="13"/>
                <c:pt idx="0">
                  <c:v>-31.1</c:v>
                </c:pt>
                <c:pt idx="1">
                  <c:v>-31.3</c:v>
                </c:pt>
                <c:pt idx="2">
                  <c:v>-31.7</c:v>
                </c:pt>
                <c:pt idx="3">
                  <c:v>-25.8</c:v>
                </c:pt>
                <c:pt idx="4">
                  <c:v>-30.5</c:v>
                </c:pt>
                <c:pt idx="5">
                  <c:v>-34.5</c:v>
                </c:pt>
                <c:pt idx="6">
                  <c:v>-43.5</c:v>
                </c:pt>
                <c:pt idx="7">
                  <c:v>-54.3</c:v>
                </c:pt>
                <c:pt idx="8">
                  <c:v>-59</c:v>
                </c:pt>
                <c:pt idx="9">
                  <c:v>-33.5</c:v>
                </c:pt>
                <c:pt idx="10">
                  <c:v>-54.1</c:v>
                </c:pt>
                <c:pt idx="11">
                  <c:v>-51.4</c:v>
                </c:pt>
                <c:pt idx="12">
                  <c:v>-35.299999999999997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251392"/>
        <c:axId val="126252928"/>
      </c:lineChart>
      <c:dateAx>
        <c:axId val="126251392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26252928"/>
        <c:crosses val="autoZero"/>
        <c:auto val="1"/>
        <c:lblOffset val="100"/>
        <c:baseTimeUnit val="months"/>
      </c:dateAx>
      <c:valAx>
        <c:axId val="126252928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26251392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2.6352804554139249E-2"/>
          <c:y val="0.8828728227153424"/>
          <c:w val="0.94628090496952344"/>
          <c:h val="8.7674731567644965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7.8662733529992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1800339116902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0241729043129E-3"/>
                  <c:y val="1.5733475793401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801577900107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628560318849325E-5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1.1800029421101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b="1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'1-2-4'!$AZ$75:$AZ$81</c:f>
              <c:strCache>
                <c:ptCount val="7"/>
                <c:pt idx="0">
                  <c:v>Birden fazla türde ürün satan bakkal, market ve büyük mağazalar </c:v>
                </c:pt>
                <c:pt idx="1">
                  <c:v>Tekstil, hazır giyim ve ayakkabı</c:v>
                </c:pt>
                <c:pt idx="2">
                  <c:v>Elektrikli ev aletleri, radyo ve televizyonlar</c:v>
                </c:pt>
                <c:pt idx="3">
                  <c:v>Diğer</c:v>
                </c:pt>
                <c:pt idx="4">
                  <c:v>Motorlu taşıtlar</c:v>
                </c:pt>
                <c:pt idx="5">
                  <c:v>BYS mobilya, aydınlatma ekipmanı ve ev içi kullanım ürünleri </c:v>
                </c:pt>
                <c:pt idx="6">
                  <c:v>Yiyecek, içecek ve tütün ürünleri </c:v>
                </c:pt>
              </c:strCache>
            </c:strRef>
          </c:cat>
          <c:val>
            <c:numRef>
              <c:f>'1-2-4'!$BA$75:$BA$81</c:f>
              <c:numCache>
                <c:formatCode>0.0</c:formatCode>
                <c:ptCount val="7"/>
                <c:pt idx="0">
                  <c:v>10.016219365109533</c:v>
                </c:pt>
                <c:pt idx="1">
                  <c:v>6.6006018025436948</c:v>
                </c:pt>
                <c:pt idx="2">
                  <c:v>2.3250298475848474</c:v>
                </c:pt>
                <c:pt idx="3">
                  <c:v>0.75700365100633071</c:v>
                </c:pt>
                <c:pt idx="4">
                  <c:v>-15.233811855402095</c:v>
                </c:pt>
                <c:pt idx="5">
                  <c:v>-19.796091248591001</c:v>
                </c:pt>
                <c:pt idx="6">
                  <c:v>-24.004739990521202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260352"/>
        <c:axId val="126261888"/>
      </c:barChart>
      <c:catAx>
        <c:axId val="12626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sz="900" b="1" baseline="0"/>
            </a:pPr>
            <a:endParaRPr lang="tr-TR"/>
          </a:p>
        </c:txPr>
        <c:crossAx val="126261888"/>
        <c:crosses val="autoZero"/>
        <c:auto val="1"/>
        <c:lblAlgn val="ctr"/>
        <c:lblOffset val="100"/>
        <c:noMultiLvlLbl val="0"/>
      </c:catAx>
      <c:valAx>
        <c:axId val="12626188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26260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37918096776366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'TEPAV Perakende Güven Endeksi'!$A$3</c:f>
              <c:strCache>
                <c:ptCount val="1"/>
                <c:pt idx="0">
                  <c:v> TEPE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'TEPAV Perakende Güven Endeksi'!$DP$1:$EB$1</c:f>
              <c:numCache>
                <c:formatCode>[$-41F]mmmm\ yy;@</c:formatCode>
                <c:ptCount val="13"/>
                <c:pt idx="0">
                  <c:v>43162</c:v>
                </c:pt>
                <c:pt idx="1">
                  <c:v>43193</c:v>
                </c:pt>
                <c:pt idx="2">
                  <c:v>43223</c:v>
                </c:pt>
                <c:pt idx="3">
                  <c:v>43254</c:v>
                </c:pt>
                <c:pt idx="4">
                  <c:v>43284</c:v>
                </c:pt>
                <c:pt idx="5">
                  <c:v>43315</c:v>
                </c:pt>
                <c:pt idx="6">
                  <c:v>43346</c:v>
                </c:pt>
                <c:pt idx="7">
                  <c:v>43376</c:v>
                </c:pt>
                <c:pt idx="8">
                  <c:v>43407</c:v>
                </c:pt>
                <c:pt idx="9">
                  <c:v>43437</c:v>
                </c:pt>
                <c:pt idx="10">
                  <c:v>43468</c:v>
                </c:pt>
                <c:pt idx="11">
                  <c:v>43499</c:v>
                </c:pt>
                <c:pt idx="12">
                  <c:v>43527</c:v>
                </c:pt>
              </c:numCache>
            </c:numRef>
          </c:cat>
          <c:val>
            <c:numRef>
              <c:f>'TEPAV Perakende Güven Endeksi'!$DP$3:$EB$3</c:f>
              <c:numCache>
                <c:formatCode>0.0</c:formatCode>
                <c:ptCount val="13"/>
                <c:pt idx="0">
                  <c:v>-12.53723755596239</c:v>
                </c:pt>
                <c:pt idx="1">
                  <c:v>-16.780601728569433</c:v>
                </c:pt>
                <c:pt idx="2">
                  <c:v>-17.023087493085498</c:v>
                </c:pt>
                <c:pt idx="3">
                  <c:v>-14.063117528342458</c:v>
                </c:pt>
                <c:pt idx="4">
                  <c:v>-11.531368804362856</c:v>
                </c:pt>
                <c:pt idx="5">
                  <c:v>-15.853389692478231</c:v>
                </c:pt>
                <c:pt idx="6">
                  <c:v>-16.304318602830833</c:v>
                </c:pt>
                <c:pt idx="7">
                  <c:v>-16.845957769876133</c:v>
                </c:pt>
                <c:pt idx="8">
                  <c:v>-17.745197073629601</c:v>
                </c:pt>
                <c:pt idx="9">
                  <c:v>-5.4430858506624</c:v>
                </c:pt>
                <c:pt idx="10">
                  <c:v>-18.979224549882264</c:v>
                </c:pt>
                <c:pt idx="11">
                  <c:v>-21.747402570651669</c:v>
                </c:pt>
                <c:pt idx="12">
                  <c:v>-15.007907006025668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'TEPAV Perakende Güven Endeksi'!$A$4</c:f>
              <c:strCache>
                <c:ptCount val="1"/>
                <c:pt idx="0">
                  <c:v> AB-28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'TEPAV Perakende Güven Endeksi'!$DP$1:$EB$1</c:f>
              <c:numCache>
                <c:formatCode>[$-41F]mmmm\ yy;@</c:formatCode>
                <c:ptCount val="13"/>
                <c:pt idx="0">
                  <c:v>43162</c:v>
                </c:pt>
                <c:pt idx="1">
                  <c:v>43193</c:v>
                </c:pt>
                <c:pt idx="2">
                  <c:v>43223</c:v>
                </c:pt>
                <c:pt idx="3">
                  <c:v>43254</c:v>
                </c:pt>
                <c:pt idx="4">
                  <c:v>43284</c:v>
                </c:pt>
                <c:pt idx="5">
                  <c:v>43315</c:v>
                </c:pt>
                <c:pt idx="6">
                  <c:v>43346</c:v>
                </c:pt>
                <c:pt idx="7">
                  <c:v>43376</c:v>
                </c:pt>
                <c:pt idx="8">
                  <c:v>43407</c:v>
                </c:pt>
                <c:pt idx="9">
                  <c:v>43437</c:v>
                </c:pt>
                <c:pt idx="10">
                  <c:v>43468</c:v>
                </c:pt>
                <c:pt idx="11">
                  <c:v>43499</c:v>
                </c:pt>
                <c:pt idx="12">
                  <c:v>43527</c:v>
                </c:pt>
              </c:numCache>
            </c:numRef>
          </c:cat>
          <c:val>
            <c:numRef>
              <c:f>'TEPAV Perakende Güven Endeksi'!$DP$4:$EB$4</c:f>
              <c:numCache>
                <c:formatCode>#,##0.0</c:formatCode>
                <c:ptCount val="13"/>
                <c:pt idx="0">
                  <c:v>3</c:v>
                </c:pt>
                <c:pt idx="1">
                  <c:v>0.2</c:v>
                </c:pt>
                <c:pt idx="2">
                  <c:v>2</c:v>
                </c:pt>
                <c:pt idx="3">
                  <c:v>3.5</c:v>
                </c:pt>
                <c:pt idx="4">
                  <c:v>2.2999999999999998</c:v>
                </c:pt>
                <c:pt idx="5">
                  <c:v>5.2</c:v>
                </c:pt>
                <c:pt idx="6">
                  <c:v>4.4000000000000004</c:v>
                </c:pt>
                <c:pt idx="7">
                  <c:v>2.5</c:v>
                </c:pt>
                <c:pt idx="8">
                  <c:v>1.3</c:v>
                </c:pt>
                <c:pt idx="9">
                  <c:v>0.2</c:v>
                </c:pt>
                <c:pt idx="10">
                  <c:v>-0.7</c:v>
                </c:pt>
                <c:pt idx="11">
                  <c:v>0.5</c:v>
                </c:pt>
                <c:pt idx="12">
                  <c:v>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274944"/>
        <c:axId val="126280832"/>
      </c:lineChart>
      <c:dateAx>
        <c:axId val="126274944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26280832"/>
        <c:crosses val="autoZero"/>
        <c:auto val="1"/>
        <c:lblOffset val="100"/>
        <c:baseTimeUnit val="months"/>
      </c:dateAx>
      <c:valAx>
        <c:axId val="126280832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26274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283048460405861"/>
          <c:y val="0.8963273340832395"/>
          <c:w val="0.75723689264451721"/>
          <c:h val="8.9078391063186074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437800585873749"/>
          <c:h val="0.55029857843332464"/>
        </c:manualLayout>
      </c:layout>
      <c:lineChart>
        <c:grouping val="standard"/>
        <c:varyColors val="0"/>
        <c:ser>
          <c:idx val="0"/>
          <c:order val="0"/>
          <c:tx>
            <c:strRef>
              <c:f>'Konya Perakende Güven Endeksi'!$A$7</c:f>
              <c:strCache>
                <c:ptCount val="1"/>
                <c:pt idx="0">
                  <c:v>KOPE (Konya TO)</c:v>
                </c:pt>
              </c:strCache>
            </c:strRef>
          </c:tx>
          <c:spPr>
            <a:ln w="44450"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'Konya Perakende Güven Endeksi'!$BW$6:$CI$6</c:f>
              <c:numCache>
                <c:formatCode>[$-41F]mmmm\ yy;@</c:formatCode>
                <c:ptCount val="13"/>
                <c:pt idx="0">
                  <c:v>43161</c:v>
                </c:pt>
                <c:pt idx="1">
                  <c:v>43192</c:v>
                </c:pt>
                <c:pt idx="2">
                  <c:v>43222</c:v>
                </c:pt>
                <c:pt idx="3">
                  <c:v>43253</c:v>
                </c:pt>
                <c:pt idx="4">
                  <c:v>43283</c:v>
                </c:pt>
                <c:pt idx="5">
                  <c:v>43314</c:v>
                </c:pt>
                <c:pt idx="6">
                  <c:v>43345</c:v>
                </c:pt>
                <c:pt idx="7">
                  <c:v>43375</c:v>
                </c:pt>
                <c:pt idx="8">
                  <c:v>43406</c:v>
                </c:pt>
                <c:pt idx="9">
                  <c:v>43436</c:v>
                </c:pt>
                <c:pt idx="10">
                  <c:v>43467</c:v>
                </c:pt>
                <c:pt idx="11">
                  <c:v>43498</c:v>
                </c:pt>
                <c:pt idx="12">
                  <c:v>43526</c:v>
                </c:pt>
              </c:numCache>
            </c:numRef>
          </c:cat>
          <c:val>
            <c:numRef>
              <c:f>'Konya Perakende Güven Endeksi'!$BW$7:$CI$7</c:f>
              <c:numCache>
                <c:formatCode>0.0</c:formatCode>
                <c:ptCount val="13"/>
                <c:pt idx="0">
                  <c:v>-1.5165878482508333</c:v>
                </c:pt>
                <c:pt idx="1">
                  <c:v>-4.1413130849606965</c:v>
                </c:pt>
                <c:pt idx="2">
                  <c:v>0.77596271406968376</c:v>
                </c:pt>
                <c:pt idx="3">
                  <c:v>1.0548244014671664</c:v>
                </c:pt>
                <c:pt idx="4">
                  <c:v>3.5491465486476668</c:v>
                </c:pt>
                <c:pt idx="5">
                  <c:v>-1.4880362586498175</c:v>
                </c:pt>
                <c:pt idx="6">
                  <c:v>-4.8138686089771374</c:v>
                </c:pt>
                <c:pt idx="7">
                  <c:v>-10.385862060534551</c:v>
                </c:pt>
                <c:pt idx="8">
                  <c:v>-15.299078217203347</c:v>
                </c:pt>
                <c:pt idx="9">
                  <c:v>-13.318528117385364</c:v>
                </c:pt>
                <c:pt idx="10">
                  <c:v>-16.566329811275267</c:v>
                </c:pt>
                <c:pt idx="11">
                  <c:v>-18.086232498836136</c:v>
                </c:pt>
                <c:pt idx="12">
                  <c:v>-13.6172241284021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'Konya Perakende Güven Endeksi'!$A$8</c:f>
              <c:strCache>
                <c:ptCount val="1"/>
                <c:pt idx="0">
                  <c:v>TEPE (Türkiye - TEPAV)</c:v>
                </c:pt>
              </c:strCache>
            </c:strRef>
          </c:tx>
          <c:spPr>
            <a:ln w="44450" cap="rnd">
              <a:solidFill>
                <a:srgbClr val="FF0000"/>
              </a:solidFill>
              <a:prstDash val="solid"/>
              <a:headEnd type="none"/>
              <a:tailEnd type="none" w="sm" len="sm"/>
            </a:ln>
          </c:spPr>
          <c:marker>
            <c:symbol val="none"/>
          </c:marker>
          <c:cat>
            <c:numRef>
              <c:f>'Konya Perakende Güven Endeksi'!$BW$6:$CI$6</c:f>
              <c:numCache>
                <c:formatCode>[$-41F]mmmm\ yy;@</c:formatCode>
                <c:ptCount val="13"/>
                <c:pt idx="0">
                  <c:v>43161</c:v>
                </c:pt>
                <c:pt idx="1">
                  <c:v>43192</c:v>
                </c:pt>
                <c:pt idx="2">
                  <c:v>43222</c:v>
                </c:pt>
                <c:pt idx="3">
                  <c:v>43253</c:v>
                </c:pt>
                <c:pt idx="4">
                  <c:v>43283</c:v>
                </c:pt>
                <c:pt idx="5">
                  <c:v>43314</c:v>
                </c:pt>
                <c:pt idx="6">
                  <c:v>43345</c:v>
                </c:pt>
                <c:pt idx="7">
                  <c:v>43375</c:v>
                </c:pt>
                <c:pt idx="8">
                  <c:v>43406</c:v>
                </c:pt>
                <c:pt idx="9">
                  <c:v>43436</c:v>
                </c:pt>
                <c:pt idx="10">
                  <c:v>43467</c:v>
                </c:pt>
                <c:pt idx="11">
                  <c:v>43498</c:v>
                </c:pt>
                <c:pt idx="12">
                  <c:v>43526</c:v>
                </c:pt>
              </c:numCache>
            </c:numRef>
          </c:cat>
          <c:val>
            <c:numRef>
              <c:f>'Konya Perakende Güven Endeksi'!$BW$8:$CI$8</c:f>
              <c:numCache>
                <c:formatCode>0.0</c:formatCode>
                <c:ptCount val="13"/>
                <c:pt idx="0">
                  <c:v>-12.53723755596239</c:v>
                </c:pt>
                <c:pt idx="1">
                  <c:v>-16.780601728569433</c:v>
                </c:pt>
                <c:pt idx="2">
                  <c:v>-17.023087493085498</c:v>
                </c:pt>
                <c:pt idx="3">
                  <c:v>-14.063117528342458</c:v>
                </c:pt>
                <c:pt idx="4">
                  <c:v>-11.531368804362856</c:v>
                </c:pt>
                <c:pt idx="5">
                  <c:v>-15.853389692478231</c:v>
                </c:pt>
                <c:pt idx="6">
                  <c:v>-16.304318602830833</c:v>
                </c:pt>
                <c:pt idx="7">
                  <c:v>-16.845957769876133</c:v>
                </c:pt>
                <c:pt idx="8">
                  <c:v>-17.745197073629601</c:v>
                </c:pt>
                <c:pt idx="9">
                  <c:v>-5.4430858506624</c:v>
                </c:pt>
                <c:pt idx="10">
                  <c:v>-18.979224549882264</c:v>
                </c:pt>
                <c:pt idx="11">
                  <c:v>-21.747402570651669</c:v>
                </c:pt>
                <c:pt idx="12">
                  <c:v>-15.007907006025668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'Konya Perakende Güven Endeksi'!$A$9</c:f>
              <c:strCache>
                <c:ptCount val="1"/>
                <c:pt idx="0">
                  <c:v>AB-28</c:v>
                </c:pt>
              </c:strCache>
            </c:strRef>
          </c:tx>
          <c:spPr>
            <a:ln w="4445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'Konya Perakende Güven Endeksi'!$BW$6:$CI$6</c:f>
              <c:numCache>
                <c:formatCode>[$-41F]mmmm\ yy;@</c:formatCode>
                <c:ptCount val="13"/>
                <c:pt idx="0">
                  <c:v>43161</c:v>
                </c:pt>
                <c:pt idx="1">
                  <c:v>43192</c:v>
                </c:pt>
                <c:pt idx="2">
                  <c:v>43222</c:v>
                </c:pt>
                <c:pt idx="3">
                  <c:v>43253</c:v>
                </c:pt>
                <c:pt idx="4">
                  <c:v>43283</c:v>
                </c:pt>
                <c:pt idx="5">
                  <c:v>43314</c:v>
                </c:pt>
                <c:pt idx="6">
                  <c:v>43345</c:v>
                </c:pt>
                <c:pt idx="7">
                  <c:v>43375</c:v>
                </c:pt>
                <c:pt idx="8">
                  <c:v>43406</c:v>
                </c:pt>
                <c:pt idx="9">
                  <c:v>43436</c:v>
                </c:pt>
                <c:pt idx="10">
                  <c:v>43467</c:v>
                </c:pt>
                <c:pt idx="11">
                  <c:v>43498</c:v>
                </c:pt>
                <c:pt idx="12">
                  <c:v>43526</c:v>
                </c:pt>
              </c:numCache>
            </c:numRef>
          </c:cat>
          <c:val>
            <c:numRef>
              <c:f>'Konya Perakende Güven Endeksi'!$BW$9:$CI$9</c:f>
              <c:numCache>
                <c:formatCode>0.0</c:formatCode>
                <c:ptCount val="13"/>
                <c:pt idx="0">
                  <c:v>3</c:v>
                </c:pt>
                <c:pt idx="1">
                  <c:v>0.2</c:v>
                </c:pt>
                <c:pt idx="2">
                  <c:v>2</c:v>
                </c:pt>
                <c:pt idx="3">
                  <c:v>3.5</c:v>
                </c:pt>
                <c:pt idx="4">
                  <c:v>2.2999999999999998</c:v>
                </c:pt>
                <c:pt idx="5">
                  <c:v>5.2</c:v>
                </c:pt>
                <c:pt idx="6">
                  <c:v>4.4000000000000004</c:v>
                </c:pt>
                <c:pt idx="7">
                  <c:v>2.5</c:v>
                </c:pt>
                <c:pt idx="8">
                  <c:v>1.3</c:v>
                </c:pt>
                <c:pt idx="9">
                  <c:v>0.2</c:v>
                </c:pt>
                <c:pt idx="10">
                  <c:v>-0.7</c:v>
                </c:pt>
                <c:pt idx="11">
                  <c:v>0.5</c:v>
                </c:pt>
                <c:pt idx="12">
                  <c:v>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294272"/>
        <c:axId val="126296064"/>
      </c:lineChart>
      <c:dateAx>
        <c:axId val="126294272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b="1" i="0" baseline="0"/>
            </a:pPr>
            <a:endParaRPr lang="tr-TR"/>
          </a:p>
        </c:txPr>
        <c:crossAx val="126296064"/>
        <c:crosses val="autoZero"/>
        <c:auto val="1"/>
        <c:lblOffset val="100"/>
        <c:baseTimeUnit val="months"/>
      </c:dateAx>
      <c:valAx>
        <c:axId val="126296064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b="1" i="0" baseline="0"/>
            </a:pPr>
            <a:endParaRPr lang="tr-TR"/>
          </a:p>
        </c:txPr>
        <c:crossAx val="126294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5824715899583724E-3"/>
          <c:y val="0.8963273340832395"/>
          <c:w val="0.99139763779527568"/>
          <c:h val="8.6109111361079863E-2"/>
        </c:manualLayout>
      </c:layout>
      <c:overlay val="0"/>
      <c:txPr>
        <a:bodyPr/>
        <a:lstStyle/>
        <a:p>
          <a:pPr>
            <a:defRPr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0.07812</cdr:x>
      <cdr:y>0.29224</cdr:y>
    </cdr:from>
    <cdr:to>
      <cdr:x>0.97707</cdr:x>
      <cdr:y>0.29308</cdr:y>
    </cdr:to>
    <cdr:sp macro="" textlink="">
      <cdr:nvSpPr>
        <cdr:cNvPr id="2" name="2 Düz Bağlayıcı"/>
        <cdr:cNvSpPr/>
      </cdr:nvSpPr>
      <cdr:spPr>
        <a:xfrm xmlns:a="http://schemas.openxmlformats.org/drawingml/2006/main" flipV="1">
          <a:off x="471330" y="943643"/>
          <a:ext cx="5423867" cy="271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 cap="flat" cmpd="sng" algn="ctr">
          <a:solidFill>
            <a:srgbClr val="FF0000"/>
          </a:solidFill>
          <a:prstDash val="sys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tr-TR"/>
        </a:p>
      </cdr:txBody>
    </cdr:sp>
  </cdr:relSizeAnchor>
  <cdr:relSizeAnchor xmlns:cdr="http://schemas.openxmlformats.org/drawingml/2006/chartDrawing">
    <cdr:from>
      <cdr:x>0.78141</cdr:x>
      <cdr:y>0.30358</cdr:y>
    </cdr:from>
    <cdr:to>
      <cdr:x>0.91206</cdr:x>
      <cdr:y>0.3642</cdr:y>
    </cdr:to>
    <cdr:sp macro="" textlink="">
      <cdr:nvSpPr>
        <cdr:cNvPr id="3" name="3 Metin kutusu"/>
        <cdr:cNvSpPr txBox="1"/>
      </cdr:nvSpPr>
      <cdr:spPr>
        <a:xfrm xmlns:a="http://schemas.openxmlformats.org/drawingml/2006/main">
          <a:off x="4714669" y="980254"/>
          <a:ext cx="788284" cy="195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tr-TR" sz="1100">
              <a:solidFill>
                <a:srgbClr val="FF0000"/>
              </a:solidFill>
            </a:rPr>
            <a:t>Ortalama</a:t>
          </a:r>
        </a:p>
      </cdr:txBody>
    </cdr:sp>
  </cdr:relSizeAnchor>
</c:userShap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4898-354E-41C2-9307-5A922FB2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1358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tepav15</dc:creator>
  <cp:lastModifiedBy>MERVE DUNDAR</cp:lastModifiedBy>
  <cp:revision>2</cp:revision>
  <cp:lastPrinted>2019-04-01T13:31:00Z</cp:lastPrinted>
  <dcterms:created xsi:type="dcterms:W3CDTF">2019-04-01T19:29:00Z</dcterms:created>
  <dcterms:modified xsi:type="dcterms:W3CDTF">2019-04-01T19:29:00Z</dcterms:modified>
</cp:coreProperties>
</file>